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F373675" w:rsidR="00D0573B" w:rsidRPr="008D1868" w:rsidRDefault="00D0573B" w:rsidP="00D4447D">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51148A">
        <w:rPr>
          <w:rFonts w:cs="Arial"/>
          <w:b/>
          <w:sz w:val="22"/>
          <w:szCs w:val="22"/>
          <w:lang w:val="en-US"/>
        </w:rPr>
        <w:t>4</w:t>
      </w:r>
      <w:r w:rsidR="00D4447D">
        <w:rPr>
          <w:rFonts w:cs="Arial"/>
          <w:b/>
          <w:i/>
          <w:sz w:val="22"/>
          <w:szCs w:val="22"/>
          <w:lang w:val="en-US"/>
        </w:rPr>
        <w:tab/>
      </w:r>
      <w:r w:rsidR="004E0B56" w:rsidRPr="004E0B56">
        <w:rPr>
          <w:rFonts w:cs="Arial"/>
          <w:b/>
          <w:i/>
          <w:sz w:val="22"/>
          <w:szCs w:val="22"/>
          <w:lang w:val="en-US" w:eastAsia="zh-CN"/>
        </w:rPr>
        <w:t>R2-</w:t>
      </w:r>
      <w:r w:rsidR="00375DAA" w:rsidRPr="009156F0">
        <w:rPr>
          <w:rFonts w:cs="Arial"/>
          <w:b/>
          <w:i/>
          <w:sz w:val="22"/>
          <w:szCs w:val="22"/>
          <w:lang w:val="en-US" w:eastAsia="zh-CN"/>
        </w:rPr>
        <w:t>23</w:t>
      </w:r>
      <w:r w:rsidR="00375DAA">
        <w:rPr>
          <w:rFonts w:cs="Arial"/>
          <w:b/>
          <w:i/>
          <w:sz w:val="22"/>
          <w:szCs w:val="22"/>
          <w:lang w:val="en-US" w:eastAsia="zh-CN"/>
        </w:rPr>
        <w:t>1</w:t>
      </w:r>
      <w:r w:rsidR="00177B03">
        <w:rPr>
          <w:rFonts w:cs="Arial"/>
          <w:b/>
          <w:i/>
          <w:sz w:val="22"/>
          <w:szCs w:val="22"/>
          <w:lang w:val="en-US" w:eastAsia="zh-CN"/>
        </w:rPr>
        <w:t>3575</w:t>
      </w:r>
    </w:p>
    <w:p w14:paraId="540B9A86" w14:textId="6AA8A945" w:rsidR="00D0573B" w:rsidRDefault="0051148A">
      <w:pPr>
        <w:tabs>
          <w:tab w:val="left" w:pos="1701"/>
          <w:tab w:val="right" w:pos="9639"/>
        </w:tabs>
        <w:spacing w:after="0"/>
        <w:rPr>
          <w:rFonts w:cs="Arial"/>
          <w:b/>
          <w:color w:val="000000"/>
          <w:kern w:val="2"/>
          <w:sz w:val="24"/>
        </w:rPr>
      </w:pPr>
      <w:r>
        <w:rPr>
          <w:rFonts w:cs="Arial"/>
          <w:b/>
          <w:sz w:val="22"/>
          <w:szCs w:val="22"/>
          <w:lang w:val="en-US"/>
        </w:rPr>
        <w:t>Chicago</w:t>
      </w:r>
      <w:r w:rsidR="00F11F7A">
        <w:rPr>
          <w:rFonts w:cs="Arial"/>
          <w:b/>
          <w:sz w:val="22"/>
          <w:szCs w:val="22"/>
          <w:lang w:val="en-US"/>
        </w:rPr>
        <w:t xml:space="preserve">, </w:t>
      </w:r>
      <w:r>
        <w:rPr>
          <w:rFonts w:cs="Arial"/>
          <w:b/>
          <w:sz w:val="22"/>
          <w:szCs w:val="22"/>
          <w:lang w:val="en-US"/>
        </w:rPr>
        <w:t>USA</w:t>
      </w:r>
      <w:r w:rsidR="00D0573B" w:rsidRPr="008D1868">
        <w:rPr>
          <w:rFonts w:cs="Arial"/>
          <w:b/>
          <w:sz w:val="22"/>
          <w:szCs w:val="22"/>
          <w:lang w:val="en-US"/>
        </w:rPr>
        <w:t xml:space="preserve">, </w:t>
      </w:r>
      <w:r>
        <w:rPr>
          <w:rFonts w:cs="Arial"/>
          <w:b/>
          <w:sz w:val="22"/>
          <w:szCs w:val="22"/>
          <w:lang w:val="en-US"/>
        </w:rPr>
        <w:t>November</w:t>
      </w:r>
      <w:r w:rsidR="00B61478"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3067DF6" w:rsidR="00D0573B" w:rsidRDefault="00D0573B">
      <w:pPr>
        <w:pStyle w:val="3GPPHeader"/>
        <w:rPr>
          <w:sz w:val="22"/>
          <w:szCs w:val="22"/>
        </w:rPr>
      </w:pPr>
      <w:r w:rsidRPr="000575E5">
        <w:rPr>
          <w:sz w:val="22"/>
          <w:szCs w:val="22"/>
        </w:rPr>
        <w:t>Agenda Item:</w:t>
      </w:r>
      <w:r w:rsidRPr="000575E5">
        <w:rPr>
          <w:sz w:val="22"/>
          <w:szCs w:val="22"/>
        </w:rPr>
        <w:tab/>
      </w:r>
      <w:r w:rsidR="00177B03" w:rsidRPr="00177B03">
        <w:rPr>
          <w:sz w:val="22"/>
          <w:szCs w:val="22"/>
        </w:rPr>
        <w:t>7.25.1.2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5EF511E" w:rsidR="00D0573B" w:rsidRDefault="00D0573B">
      <w:pPr>
        <w:pStyle w:val="3GPPHeader"/>
        <w:rPr>
          <w:sz w:val="22"/>
          <w:szCs w:val="22"/>
        </w:rPr>
      </w:pPr>
      <w:r>
        <w:rPr>
          <w:sz w:val="22"/>
          <w:szCs w:val="22"/>
        </w:rPr>
        <w:t>Title:</w:t>
      </w:r>
      <w:r>
        <w:rPr>
          <w:sz w:val="22"/>
          <w:szCs w:val="22"/>
        </w:rPr>
        <w:tab/>
      </w:r>
      <w:r w:rsidR="00177B03" w:rsidRPr="00177B03">
        <w:rPr>
          <w:sz w:val="22"/>
          <w:szCs w:val="22"/>
        </w:rPr>
        <w:t>Left issues on interBandMRDC-WithOverlapDL-Bands-r16</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14529AC" w14:textId="6907BB9F" w:rsidR="006C3A75"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7A7FE3">
        <w:rPr>
          <w:rFonts w:cs="Arial"/>
        </w:rPr>
        <w:t xml:space="preserve">left issue from </w:t>
      </w:r>
      <w:r w:rsidR="007A7FE3" w:rsidRPr="007A7FE3">
        <w:rPr>
          <w:rFonts w:cs="Arial"/>
        </w:rPr>
        <w:t>R4-231740</w:t>
      </w:r>
      <w:r w:rsidR="007A7FE3">
        <w:rPr>
          <w:rFonts w:cs="Arial"/>
        </w:rPr>
        <w:t>1.</w:t>
      </w:r>
    </w:p>
    <w:bookmarkEnd w:id="5"/>
    <w:p w14:paraId="23312DF5" w14:textId="2AE4438C" w:rsidR="00D0573B" w:rsidRDefault="007E5320" w:rsidP="005662A3">
      <w:pPr>
        <w:pStyle w:val="1"/>
        <w:ind w:left="720" w:hangingChars="200" w:hanging="720"/>
        <w:jc w:val="both"/>
      </w:pPr>
      <w:r>
        <w:t>Discussion</w:t>
      </w:r>
    </w:p>
    <w:p w14:paraId="003FECCE" w14:textId="4E6AE49C" w:rsidR="007A7FE3" w:rsidRDefault="007A7FE3" w:rsidP="007A7FE3">
      <w:r>
        <w:rPr>
          <w:rFonts w:hint="eastAsia"/>
        </w:rPr>
        <w:t>G</w:t>
      </w:r>
      <w:r>
        <w:t xml:space="preserve">iven the RP request to introduce a BS </w:t>
      </w:r>
      <w:proofErr w:type="spellStart"/>
      <w:r>
        <w:t>signaling</w:t>
      </w:r>
      <w:proofErr w:type="spellEnd"/>
      <w:r>
        <w:t xml:space="preserve">, for TDD-TDD case of inter-band ENDC scenario, to differentiate type-1/2 UE </w:t>
      </w:r>
      <w:proofErr w:type="spellStart"/>
      <w:r>
        <w:t>behavior</w:t>
      </w:r>
      <w:proofErr w:type="spellEnd"/>
      <w:r>
        <w:t xml:space="preserve">, and now the extension of intra-band ENDC async capability flag to inter-band case and NE-DC case, it seems helpful to summarize all related cases together to have an overview. </w:t>
      </w:r>
    </w:p>
    <w:p w14:paraId="1DC58FF9" w14:textId="38E92DDF" w:rsidR="007A7FE3" w:rsidRDefault="007A7FE3" w:rsidP="007A7FE3">
      <w:r>
        <w:rPr>
          <w:rFonts w:hint="eastAsia"/>
        </w:rPr>
        <w:t>T</w:t>
      </w:r>
      <w:r>
        <w:t>he information comes from TS 38.133, and latest CR of R4-2317400 (together with the incoming LSs).</w:t>
      </w:r>
    </w:p>
    <w:p w14:paraId="7125AEF3" w14:textId="64C916D9" w:rsidR="007A7FE3" w:rsidRDefault="007A7FE3" w:rsidP="007A7FE3">
      <w:pPr>
        <w:pStyle w:val="af5"/>
        <w:keepNext/>
      </w:pPr>
      <w:r>
        <w:t xml:space="preserve">Table </w:t>
      </w:r>
      <w:r>
        <w:fldChar w:fldCharType="begin"/>
      </w:r>
      <w:r>
        <w:instrText xml:space="preserve"> SEQ Table \* ARABIC </w:instrText>
      </w:r>
      <w:r>
        <w:fldChar w:fldCharType="separate"/>
      </w:r>
      <w:r w:rsidR="005B4D6B">
        <w:rPr>
          <w:noProof/>
        </w:rPr>
        <w:t>1</w:t>
      </w:r>
      <w:r>
        <w:fldChar w:fldCharType="end"/>
      </w:r>
      <w:r>
        <w:t xml:space="preserve"> UE capability and performance requirement for intra-/inter-band EN/NE-DC and for different duplex combinations</w:t>
      </w:r>
    </w:p>
    <w:tbl>
      <w:tblPr>
        <w:tblStyle w:val="afc"/>
        <w:tblW w:w="0" w:type="auto"/>
        <w:tblLook w:val="04A0" w:firstRow="1" w:lastRow="0" w:firstColumn="1" w:lastColumn="0" w:noHBand="0" w:noVBand="1"/>
      </w:tblPr>
      <w:tblGrid>
        <w:gridCol w:w="306"/>
        <w:gridCol w:w="872"/>
        <w:gridCol w:w="1018"/>
        <w:gridCol w:w="1019"/>
        <w:gridCol w:w="1069"/>
        <w:gridCol w:w="1069"/>
        <w:gridCol w:w="1069"/>
        <w:gridCol w:w="1069"/>
        <w:gridCol w:w="1069"/>
        <w:gridCol w:w="1069"/>
      </w:tblGrid>
      <w:tr w:rsidR="00FF5641" w14:paraId="74DE5C99" w14:textId="77777777" w:rsidTr="00FF5641">
        <w:tc>
          <w:tcPr>
            <w:tcW w:w="562" w:type="dxa"/>
          </w:tcPr>
          <w:p w14:paraId="7CA5ABBE" w14:textId="77777777" w:rsidR="00FF5641" w:rsidRDefault="00FF5641" w:rsidP="00700C5C">
            <w:pPr>
              <w:jc w:val="left"/>
              <w:rPr>
                <w:rFonts w:ascii="Calibri" w:hAnsi="Calibri" w:cs="Calibri"/>
                <w:sz w:val="18"/>
                <w:szCs w:val="18"/>
              </w:rPr>
            </w:pPr>
          </w:p>
        </w:tc>
        <w:tc>
          <w:tcPr>
            <w:tcW w:w="1682" w:type="dxa"/>
          </w:tcPr>
          <w:p w14:paraId="7ABA9EAB" w14:textId="77777777" w:rsidR="00FF5641" w:rsidRDefault="00FF5641" w:rsidP="00700C5C">
            <w:pPr>
              <w:jc w:val="left"/>
              <w:rPr>
                <w:rFonts w:ascii="Calibri" w:hAnsi="Calibri" w:cs="Calibri"/>
                <w:sz w:val="18"/>
                <w:szCs w:val="18"/>
              </w:rPr>
            </w:pPr>
          </w:p>
        </w:tc>
        <w:tc>
          <w:tcPr>
            <w:tcW w:w="7519" w:type="dxa"/>
            <w:gridSpan w:val="5"/>
            <w:shd w:val="clear" w:color="auto" w:fill="auto"/>
          </w:tcPr>
          <w:p w14:paraId="11991C3B" w14:textId="05FDB5C4" w:rsidR="00FF5641" w:rsidRPr="00AA082B" w:rsidRDefault="00FF5641" w:rsidP="00700C5C">
            <w:pPr>
              <w:jc w:val="left"/>
              <w:rPr>
                <w:rFonts w:ascii="Calibri" w:hAnsi="Calibri" w:cs="Calibri"/>
                <w:sz w:val="18"/>
                <w:szCs w:val="18"/>
              </w:rPr>
            </w:pPr>
            <w:r>
              <w:rPr>
                <w:rFonts w:ascii="Calibri" w:hAnsi="Calibri" w:cs="Calibri" w:hint="eastAsia"/>
                <w:sz w:val="18"/>
                <w:szCs w:val="18"/>
              </w:rPr>
              <w:t>E</w:t>
            </w:r>
            <w:r>
              <w:rPr>
                <w:rFonts w:ascii="Calibri" w:hAnsi="Calibri" w:cs="Calibri"/>
                <w:sz w:val="18"/>
                <w:szCs w:val="18"/>
              </w:rPr>
              <w:t>N-DC</w:t>
            </w:r>
          </w:p>
        </w:tc>
        <w:tc>
          <w:tcPr>
            <w:tcW w:w="4515" w:type="dxa"/>
            <w:gridSpan w:val="3"/>
            <w:shd w:val="clear" w:color="auto" w:fill="auto"/>
          </w:tcPr>
          <w:p w14:paraId="75591097" w14:textId="0F572832" w:rsidR="00FF5641" w:rsidRDefault="00FF5641"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E-DC</w:t>
            </w:r>
          </w:p>
        </w:tc>
      </w:tr>
      <w:tr w:rsidR="00036E49" w14:paraId="5DC1C0F6" w14:textId="77777777" w:rsidTr="00FF5641">
        <w:tc>
          <w:tcPr>
            <w:tcW w:w="562" w:type="dxa"/>
          </w:tcPr>
          <w:p w14:paraId="64C9225B" w14:textId="77777777" w:rsidR="00036E49" w:rsidRDefault="00036E49" w:rsidP="00700C5C">
            <w:pPr>
              <w:jc w:val="left"/>
              <w:rPr>
                <w:rFonts w:ascii="Calibri" w:hAnsi="Calibri" w:cs="Calibri"/>
                <w:sz w:val="18"/>
                <w:szCs w:val="18"/>
              </w:rPr>
            </w:pPr>
          </w:p>
        </w:tc>
        <w:tc>
          <w:tcPr>
            <w:tcW w:w="1682" w:type="dxa"/>
          </w:tcPr>
          <w:p w14:paraId="1337E19E" w14:textId="77777777" w:rsidR="00036E49" w:rsidRPr="00AA082B" w:rsidRDefault="00036E49" w:rsidP="00700C5C">
            <w:pPr>
              <w:jc w:val="left"/>
              <w:rPr>
                <w:rFonts w:ascii="Calibri" w:hAnsi="Calibri" w:cs="Calibri"/>
                <w:sz w:val="18"/>
                <w:szCs w:val="18"/>
              </w:rPr>
            </w:pPr>
            <w:r>
              <w:rPr>
                <w:rFonts w:ascii="Calibri" w:hAnsi="Calibri" w:cs="Calibri" w:hint="eastAsia"/>
                <w:sz w:val="18"/>
                <w:szCs w:val="18"/>
              </w:rPr>
              <w:t>Q</w:t>
            </w:r>
            <w:r>
              <w:rPr>
                <w:rFonts w:ascii="Calibri" w:hAnsi="Calibri" w:cs="Calibri"/>
                <w:sz w:val="18"/>
                <w:szCs w:val="18"/>
              </w:rPr>
              <w:t>uestion</w:t>
            </w:r>
          </w:p>
        </w:tc>
        <w:tc>
          <w:tcPr>
            <w:tcW w:w="1454" w:type="dxa"/>
            <w:shd w:val="clear" w:color="auto" w:fill="FFFF00"/>
          </w:tcPr>
          <w:p w14:paraId="61D714BB"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1/3</w:t>
            </w:r>
          </w:p>
        </w:tc>
        <w:tc>
          <w:tcPr>
            <w:tcW w:w="1698" w:type="dxa"/>
          </w:tcPr>
          <w:p w14:paraId="13433BD4" w14:textId="77777777" w:rsidR="00036E49" w:rsidRPr="00AA082B" w:rsidRDefault="00036E49" w:rsidP="00700C5C">
            <w:pPr>
              <w:jc w:val="left"/>
              <w:rPr>
                <w:rFonts w:ascii="Calibri" w:hAnsi="Calibri" w:cs="Calibri"/>
                <w:sz w:val="18"/>
                <w:szCs w:val="18"/>
              </w:rPr>
            </w:pPr>
          </w:p>
        </w:tc>
        <w:tc>
          <w:tcPr>
            <w:tcW w:w="1456" w:type="dxa"/>
            <w:shd w:val="clear" w:color="auto" w:fill="FFC000"/>
          </w:tcPr>
          <w:p w14:paraId="155AEB17"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1/2/3</w:t>
            </w:r>
          </w:p>
        </w:tc>
        <w:tc>
          <w:tcPr>
            <w:tcW w:w="1456" w:type="dxa"/>
            <w:shd w:val="clear" w:color="auto" w:fill="FFFF00"/>
          </w:tcPr>
          <w:p w14:paraId="11522F8F" w14:textId="6C56B82D" w:rsidR="00036E49" w:rsidRPr="00AA082B" w:rsidRDefault="00036E49" w:rsidP="00700C5C">
            <w:pPr>
              <w:jc w:val="left"/>
              <w:rPr>
                <w:rFonts w:ascii="Calibri" w:hAnsi="Calibri" w:cs="Calibri"/>
                <w:sz w:val="18"/>
                <w:szCs w:val="18"/>
              </w:rPr>
            </w:pPr>
            <w:r>
              <w:rPr>
                <w:rFonts w:ascii="Calibri" w:hAnsi="Calibri" w:cs="Calibri"/>
                <w:sz w:val="18"/>
                <w:szCs w:val="18"/>
              </w:rPr>
              <w:t>How to diff 1/</w:t>
            </w:r>
            <w:r w:rsidR="009D13CF">
              <w:rPr>
                <w:rFonts w:ascii="Calibri" w:hAnsi="Calibri" w:cs="Calibri"/>
                <w:sz w:val="18"/>
                <w:szCs w:val="18"/>
              </w:rPr>
              <w:t>2</w:t>
            </w:r>
          </w:p>
        </w:tc>
        <w:tc>
          <w:tcPr>
            <w:tcW w:w="1455" w:type="dxa"/>
            <w:shd w:val="clear" w:color="auto" w:fill="auto"/>
          </w:tcPr>
          <w:p w14:paraId="18F73ACC" w14:textId="0626BEDD" w:rsidR="00036E49" w:rsidRPr="00AA082B" w:rsidRDefault="00036E49" w:rsidP="00700C5C">
            <w:pPr>
              <w:jc w:val="left"/>
              <w:rPr>
                <w:rFonts w:ascii="Calibri" w:hAnsi="Calibri" w:cs="Calibri"/>
                <w:sz w:val="18"/>
                <w:szCs w:val="18"/>
              </w:rPr>
            </w:pPr>
          </w:p>
        </w:tc>
        <w:tc>
          <w:tcPr>
            <w:tcW w:w="1604" w:type="dxa"/>
            <w:shd w:val="clear" w:color="auto" w:fill="FFC000"/>
          </w:tcPr>
          <w:p w14:paraId="5F976046" w14:textId="77777777" w:rsidR="00036E49" w:rsidRPr="00AA082B" w:rsidRDefault="00036E49" w:rsidP="00700C5C">
            <w:pPr>
              <w:jc w:val="left"/>
              <w:rPr>
                <w:rFonts w:ascii="Calibri" w:hAnsi="Calibri" w:cs="Calibri"/>
                <w:sz w:val="18"/>
                <w:szCs w:val="18"/>
              </w:rPr>
            </w:pPr>
            <w:r>
              <w:rPr>
                <w:rFonts w:ascii="Calibri" w:hAnsi="Calibri" w:cs="Calibri"/>
                <w:sz w:val="18"/>
                <w:szCs w:val="18"/>
              </w:rPr>
              <w:t>How to diff 1/2/3</w:t>
            </w:r>
          </w:p>
        </w:tc>
        <w:tc>
          <w:tcPr>
            <w:tcW w:w="1455" w:type="dxa"/>
            <w:shd w:val="clear" w:color="auto" w:fill="FFFF00"/>
          </w:tcPr>
          <w:p w14:paraId="66E9D9C7" w14:textId="3CDDD77E" w:rsidR="00036E49" w:rsidRPr="00AA082B" w:rsidRDefault="00036E49" w:rsidP="00700C5C">
            <w:pPr>
              <w:jc w:val="left"/>
              <w:rPr>
                <w:rFonts w:ascii="Calibri" w:hAnsi="Calibri" w:cs="Calibri"/>
                <w:sz w:val="18"/>
                <w:szCs w:val="18"/>
              </w:rPr>
            </w:pPr>
            <w:r>
              <w:rPr>
                <w:rFonts w:ascii="Calibri" w:hAnsi="Calibri" w:cs="Calibri"/>
                <w:sz w:val="18"/>
                <w:szCs w:val="18"/>
              </w:rPr>
              <w:t>How to diff 1/</w:t>
            </w:r>
            <w:r w:rsidR="009D13CF">
              <w:rPr>
                <w:rFonts w:ascii="Calibri" w:hAnsi="Calibri" w:cs="Calibri"/>
                <w:sz w:val="18"/>
                <w:szCs w:val="18"/>
              </w:rPr>
              <w:t>2</w:t>
            </w:r>
          </w:p>
          <w:p w14:paraId="5E240AF6" w14:textId="34549DD5" w:rsidR="00036E49" w:rsidRPr="00AA082B" w:rsidRDefault="00036E49" w:rsidP="00700C5C">
            <w:pPr>
              <w:jc w:val="left"/>
              <w:rPr>
                <w:rFonts w:ascii="Calibri" w:hAnsi="Calibri" w:cs="Calibri"/>
                <w:sz w:val="18"/>
                <w:szCs w:val="18"/>
              </w:rPr>
            </w:pPr>
          </w:p>
        </w:tc>
        <w:tc>
          <w:tcPr>
            <w:tcW w:w="1456" w:type="dxa"/>
            <w:shd w:val="clear" w:color="auto" w:fill="FFC000"/>
          </w:tcPr>
          <w:p w14:paraId="27C5790D" w14:textId="244F3272" w:rsidR="00036E49" w:rsidRPr="00AA082B" w:rsidRDefault="00036E49" w:rsidP="00700C5C">
            <w:pPr>
              <w:jc w:val="left"/>
              <w:rPr>
                <w:rFonts w:ascii="Calibri" w:hAnsi="Calibri" w:cs="Calibri"/>
                <w:sz w:val="18"/>
                <w:szCs w:val="18"/>
              </w:rPr>
            </w:pPr>
            <w:r>
              <w:rPr>
                <w:rFonts w:ascii="Calibri" w:hAnsi="Calibri" w:cs="Calibri"/>
                <w:sz w:val="18"/>
                <w:szCs w:val="18"/>
              </w:rPr>
              <w:t>How to diff 2/3</w:t>
            </w:r>
          </w:p>
        </w:tc>
      </w:tr>
      <w:tr w:rsidR="00036E49" w14:paraId="5403EE06" w14:textId="77777777" w:rsidTr="00FF5641">
        <w:tc>
          <w:tcPr>
            <w:tcW w:w="562" w:type="dxa"/>
          </w:tcPr>
          <w:p w14:paraId="6D148404" w14:textId="77777777" w:rsidR="00036E49" w:rsidRPr="00AA082B" w:rsidRDefault="00036E49" w:rsidP="00FF5641">
            <w:pPr>
              <w:spacing w:after="0"/>
              <w:jc w:val="left"/>
              <w:rPr>
                <w:rFonts w:ascii="Calibri" w:hAnsi="Calibri" w:cs="Calibri"/>
                <w:sz w:val="18"/>
                <w:szCs w:val="18"/>
              </w:rPr>
            </w:pPr>
          </w:p>
        </w:tc>
        <w:tc>
          <w:tcPr>
            <w:tcW w:w="1682" w:type="dxa"/>
          </w:tcPr>
          <w:p w14:paraId="471987D0" w14:textId="77777777" w:rsidR="00036E49" w:rsidRPr="00AA082B" w:rsidRDefault="00036E49" w:rsidP="00FF5641">
            <w:pPr>
              <w:spacing w:after="0"/>
              <w:jc w:val="left"/>
              <w:rPr>
                <w:rFonts w:ascii="Calibri" w:hAnsi="Calibri" w:cs="Calibri"/>
                <w:sz w:val="18"/>
                <w:szCs w:val="18"/>
              </w:rPr>
            </w:pPr>
          </w:p>
        </w:tc>
        <w:tc>
          <w:tcPr>
            <w:tcW w:w="1454" w:type="dxa"/>
          </w:tcPr>
          <w:p w14:paraId="397C01DE"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Intra-band, FDD-FDD</w:t>
            </w:r>
          </w:p>
        </w:tc>
        <w:tc>
          <w:tcPr>
            <w:tcW w:w="1698" w:type="dxa"/>
          </w:tcPr>
          <w:p w14:paraId="65606A2D" w14:textId="77777777" w:rsidR="00036E49" w:rsidRPr="007A7FE3" w:rsidRDefault="00036E49" w:rsidP="00FF5641">
            <w:pPr>
              <w:spacing w:after="0"/>
              <w:jc w:val="left"/>
              <w:rPr>
                <w:rFonts w:ascii="Calibri" w:hAnsi="Calibri" w:cs="Calibri"/>
                <w:sz w:val="18"/>
                <w:szCs w:val="18"/>
                <w:highlight w:val="cyan"/>
              </w:rPr>
            </w:pPr>
            <w:r w:rsidRPr="007A7FE3">
              <w:rPr>
                <w:rFonts w:ascii="Calibri" w:hAnsi="Calibri" w:cs="Calibri"/>
                <w:sz w:val="18"/>
                <w:szCs w:val="18"/>
                <w:highlight w:val="cyan"/>
              </w:rPr>
              <w:t>Intra-band</w:t>
            </w:r>
          </w:p>
          <w:p w14:paraId="3ED639F5" w14:textId="77777777" w:rsidR="00036E49" w:rsidRPr="00AA082B" w:rsidRDefault="00036E49" w:rsidP="00FF5641">
            <w:pPr>
              <w:spacing w:after="0"/>
              <w:jc w:val="left"/>
              <w:rPr>
                <w:rFonts w:ascii="Calibri" w:hAnsi="Calibri" w:cs="Calibri"/>
                <w:sz w:val="18"/>
                <w:szCs w:val="18"/>
              </w:rPr>
            </w:pPr>
            <w:r w:rsidRPr="007A7FE3">
              <w:rPr>
                <w:rFonts w:ascii="Calibri" w:hAnsi="Calibri" w:cs="Calibri"/>
                <w:sz w:val="18"/>
                <w:szCs w:val="18"/>
                <w:highlight w:val="cyan"/>
              </w:rPr>
              <w:t>TDD-TDD</w:t>
            </w:r>
          </w:p>
        </w:tc>
        <w:tc>
          <w:tcPr>
            <w:tcW w:w="1456" w:type="dxa"/>
          </w:tcPr>
          <w:p w14:paraId="3B7A3E47"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5BB3EE33" w14:textId="73BF696A"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FDD-FDD</w:t>
            </w:r>
            <w:r>
              <w:rPr>
                <w:rFonts w:ascii="Calibri" w:hAnsi="Calibri" w:cs="Calibri"/>
                <w:sz w:val="18"/>
                <w:szCs w:val="18"/>
              </w:rPr>
              <w:t xml:space="preserve"> with overlapping frequency</w:t>
            </w:r>
          </w:p>
        </w:tc>
        <w:tc>
          <w:tcPr>
            <w:tcW w:w="1456" w:type="dxa"/>
          </w:tcPr>
          <w:p w14:paraId="152E9069"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3666D8CC"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FDD-TDD</w:t>
            </w:r>
            <w:r>
              <w:rPr>
                <w:rFonts w:ascii="Calibri" w:hAnsi="Calibri" w:cs="Calibri"/>
                <w:sz w:val="18"/>
                <w:szCs w:val="18"/>
              </w:rPr>
              <w:t xml:space="preserve">, TDD-FDD, FDD-FDD, TDD-TDD, without overlapping </w:t>
            </w:r>
            <w:proofErr w:type="gramStart"/>
            <w:r>
              <w:rPr>
                <w:rFonts w:ascii="Calibri" w:hAnsi="Calibri" w:cs="Calibri"/>
                <w:sz w:val="18"/>
                <w:szCs w:val="18"/>
              </w:rPr>
              <w:t>frequency</w:t>
            </w:r>
            <w:proofErr w:type="gramEnd"/>
          </w:p>
          <w:p w14:paraId="2D8B8ABE" w14:textId="2297DCFB" w:rsidR="00036E49" w:rsidRPr="00AA082B" w:rsidRDefault="00036E49" w:rsidP="00FF5641">
            <w:pPr>
              <w:spacing w:after="0"/>
              <w:jc w:val="left"/>
              <w:rPr>
                <w:rFonts w:ascii="Calibri" w:hAnsi="Calibri" w:cs="Calibri"/>
                <w:sz w:val="18"/>
                <w:szCs w:val="18"/>
              </w:rPr>
            </w:pPr>
          </w:p>
        </w:tc>
        <w:tc>
          <w:tcPr>
            <w:tcW w:w="1455" w:type="dxa"/>
          </w:tcPr>
          <w:p w14:paraId="5D5656E4" w14:textId="77777777" w:rsidR="00036E49" w:rsidRPr="007A7FE3" w:rsidRDefault="00036E49" w:rsidP="00FF5641">
            <w:pPr>
              <w:spacing w:after="0"/>
              <w:jc w:val="left"/>
              <w:rPr>
                <w:rFonts w:ascii="Calibri" w:hAnsi="Calibri" w:cs="Calibri"/>
                <w:sz w:val="18"/>
                <w:szCs w:val="18"/>
                <w:highlight w:val="green"/>
              </w:rPr>
            </w:pPr>
            <w:r w:rsidRPr="007A7FE3">
              <w:rPr>
                <w:rFonts w:ascii="Calibri" w:hAnsi="Calibri" w:cs="Calibri"/>
                <w:sz w:val="18"/>
                <w:szCs w:val="18"/>
                <w:highlight w:val="green"/>
              </w:rPr>
              <w:t>Inter-band</w:t>
            </w:r>
          </w:p>
          <w:p w14:paraId="545047B0" w14:textId="2C843C8E" w:rsidR="00036E49" w:rsidRPr="00AA082B" w:rsidRDefault="00036E49" w:rsidP="00FF5641">
            <w:pPr>
              <w:spacing w:after="0"/>
              <w:jc w:val="left"/>
              <w:rPr>
                <w:rFonts w:ascii="Calibri" w:hAnsi="Calibri" w:cs="Calibri"/>
                <w:sz w:val="18"/>
                <w:szCs w:val="18"/>
              </w:rPr>
            </w:pPr>
            <w:r w:rsidRPr="007A7FE3">
              <w:rPr>
                <w:rFonts w:ascii="Calibri" w:hAnsi="Calibri" w:cs="Calibri"/>
                <w:sz w:val="18"/>
                <w:szCs w:val="18"/>
                <w:highlight w:val="green"/>
              </w:rPr>
              <w:t>TDD-TDD</w:t>
            </w:r>
            <w:r>
              <w:rPr>
                <w:rFonts w:ascii="Calibri" w:hAnsi="Calibri" w:cs="Calibri"/>
                <w:sz w:val="18"/>
                <w:szCs w:val="18"/>
              </w:rPr>
              <w:t xml:space="preserve"> with overlapping frequency</w:t>
            </w:r>
          </w:p>
        </w:tc>
        <w:tc>
          <w:tcPr>
            <w:tcW w:w="1604" w:type="dxa"/>
          </w:tcPr>
          <w:p w14:paraId="26DB0321"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3B13DAD0"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FDD-FDD</w:t>
            </w:r>
            <w:r>
              <w:rPr>
                <w:rFonts w:ascii="Calibri" w:hAnsi="Calibri" w:cs="Calibri"/>
                <w:sz w:val="18"/>
                <w:szCs w:val="18"/>
              </w:rPr>
              <w:t>, with overlapping frequency</w:t>
            </w:r>
          </w:p>
        </w:tc>
        <w:tc>
          <w:tcPr>
            <w:tcW w:w="1455" w:type="dxa"/>
          </w:tcPr>
          <w:p w14:paraId="168692A7"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FDD-TDD</w:t>
            </w:r>
            <w:r>
              <w:rPr>
                <w:rFonts w:ascii="Calibri" w:hAnsi="Calibri" w:cs="Calibri"/>
                <w:sz w:val="18"/>
                <w:szCs w:val="18"/>
              </w:rPr>
              <w:t xml:space="preserve">, TDD-FDD, FDD-FDD, TDD-TDD, without overlapping </w:t>
            </w:r>
            <w:proofErr w:type="gramStart"/>
            <w:r>
              <w:rPr>
                <w:rFonts w:ascii="Calibri" w:hAnsi="Calibri" w:cs="Calibri"/>
                <w:sz w:val="18"/>
                <w:szCs w:val="18"/>
              </w:rPr>
              <w:t>frequency</w:t>
            </w:r>
            <w:proofErr w:type="gramEnd"/>
          </w:p>
          <w:p w14:paraId="3B19C54B" w14:textId="43B4BFB9" w:rsidR="00036E49" w:rsidRPr="00AA082B" w:rsidRDefault="00036E49" w:rsidP="00FF5641">
            <w:pPr>
              <w:spacing w:after="0"/>
              <w:jc w:val="left"/>
              <w:rPr>
                <w:rFonts w:ascii="Calibri" w:hAnsi="Calibri" w:cs="Calibri"/>
                <w:sz w:val="18"/>
                <w:szCs w:val="18"/>
              </w:rPr>
            </w:pPr>
          </w:p>
        </w:tc>
        <w:tc>
          <w:tcPr>
            <w:tcW w:w="1456" w:type="dxa"/>
          </w:tcPr>
          <w:p w14:paraId="66B2AC47" w14:textId="77777777"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Inter-band</w:t>
            </w:r>
          </w:p>
          <w:p w14:paraId="6F881E6B" w14:textId="271FDEB0" w:rsidR="00036E49" w:rsidRPr="00AA082B" w:rsidRDefault="00036E49" w:rsidP="00FF5641">
            <w:pPr>
              <w:spacing w:after="0"/>
              <w:jc w:val="left"/>
              <w:rPr>
                <w:rFonts w:ascii="Calibri" w:hAnsi="Calibri" w:cs="Calibri"/>
                <w:sz w:val="18"/>
                <w:szCs w:val="18"/>
              </w:rPr>
            </w:pPr>
            <w:r w:rsidRPr="00AA082B">
              <w:rPr>
                <w:rFonts w:ascii="Calibri" w:hAnsi="Calibri" w:cs="Calibri"/>
                <w:sz w:val="18"/>
                <w:szCs w:val="18"/>
              </w:rPr>
              <w:t>TDD-TDD</w:t>
            </w:r>
            <w:r>
              <w:rPr>
                <w:rFonts w:ascii="Calibri" w:hAnsi="Calibri" w:cs="Calibri"/>
                <w:sz w:val="18"/>
                <w:szCs w:val="18"/>
              </w:rPr>
              <w:t>, with overlapping frequency</w:t>
            </w:r>
          </w:p>
        </w:tc>
      </w:tr>
      <w:tr w:rsidR="00036E49" w14:paraId="7B68EFF6" w14:textId="77777777" w:rsidTr="00FF5641">
        <w:tc>
          <w:tcPr>
            <w:tcW w:w="562" w:type="dxa"/>
          </w:tcPr>
          <w:p w14:paraId="35CF3F76" w14:textId="77777777" w:rsidR="00036E49" w:rsidRPr="00AA082B" w:rsidRDefault="00036E49" w:rsidP="00FF5641">
            <w:pPr>
              <w:spacing w:after="0"/>
              <w:jc w:val="left"/>
              <w:rPr>
                <w:rFonts w:ascii="Calibri" w:hAnsi="Calibri" w:cs="Calibri"/>
                <w:sz w:val="18"/>
                <w:szCs w:val="18"/>
              </w:rPr>
            </w:pPr>
            <w:r>
              <w:rPr>
                <w:rFonts w:ascii="Calibri" w:hAnsi="Calibri" w:cs="Calibri" w:hint="eastAsia"/>
                <w:sz w:val="18"/>
                <w:szCs w:val="18"/>
              </w:rPr>
              <w:t>1</w:t>
            </w:r>
          </w:p>
        </w:tc>
        <w:tc>
          <w:tcPr>
            <w:tcW w:w="1682" w:type="dxa"/>
          </w:tcPr>
          <w:p w14:paraId="1640277E" w14:textId="77777777" w:rsidR="00036E49" w:rsidRDefault="00036E49" w:rsidP="00FF5641">
            <w:pPr>
              <w:spacing w:after="0"/>
              <w:jc w:val="left"/>
              <w:rPr>
                <w:rFonts w:ascii="Calibri" w:hAnsi="Calibri" w:cs="Calibri"/>
                <w:sz w:val="18"/>
                <w:szCs w:val="18"/>
              </w:rPr>
            </w:pPr>
            <w:r w:rsidRPr="00AA082B">
              <w:rPr>
                <w:rFonts w:ascii="Calibri" w:hAnsi="Calibri" w:cs="Calibri"/>
                <w:sz w:val="18"/>
                <w:szCs w:val="18"/>
              </w:rPr>
              <w:t>Async</w:t>
            </w:r>
          </w:p>
          <w:p w14:paraId="4A21EEE6" w14:textId="7134392F" w:rsidR="00A51E1A" w:rsidRPr="00A51E1A" w:rsidRDefault="00A51E1A"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6275B8BF" w14:textId="77777777" w:rsidR="00BC6227" w:rsidRPr="00A51E1A" w:rsidRDefault="00BC6227" w:rsidP="00FF5641">
            <w:pPr>
              <w:spacing w:after="0"/>
              <w:jc w:val="left"/>
              <w:rPr>
                <w:rFonts w:ascii="Calibri" w:hAnsi="Calibri" w:cs="Calibri"/>
                <w:sz w:val="18"/>
                <w:szCs w:val="18"/>
              </w:rPr>
            </w:pPr>
            <w:r w:rsidRPr="00A51E1A">
              <w:rPr>
                <w:rFonts w:ascii="Calibri" w:hAnsi="Calibri" w:cs="Calibri"/>
                <w:sz w:val="18"/>
                <w:szCs w:val="18"/>
              </w:rPr>
              <w:t>Table 7.5.2-1</w:t>
            </w:r>
          </w:p>
          <w:p w14:paraId="0E8C3F85" w14:textId="77777777" w:rsidR="00A51E1A" w:rsidRPr="00A51E1A" w:rsidRDefault="00A51E1A" w:rsidP="00FF5641">
            <w:pPr>
              <w:spacing w:after="0"/>
              <w:jc w:val="left"/>
              <w:rPr>
                <w:rFonts w:ascii="Calibri" w:hAnsi="Calibri" w:cs="Calibri"/>
                <w:sz w:val="18"/>
                <w:szCs w:val="18"/>
              </w:rPr>
            </w:pPr>
            <w:r w:rsidRPr="00A51E1A">
              <w:rPr>
                <w:rFonts w:ascii="Calibri" w:hAnsi="Calibri" w:cs="Calibri"/>
                <w:sz w:val="18"/>
                <w:szCs w:val="18"/>
              </w:rPr>
              <w:t>Table 7.5.5-1</w:t>
            </w:r>
          </w:p>
          <w:p w14:paraId="4926E7E7" w14:textId="5E4E05C8" w:rsidR="00A51E1A" w:rsidRPr="00A51E1A" w:rsidRDefault="00A51E1A"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79D38F04" w14:textId="77777777" w:rsidR="00A51E1A" w:rsidRPr="00A51E1A" w:rsidRDefault="00A51E1A" w:rsidP="00FF5641">
            <w:pPr>
              <w:spacing w:after="0"/>
              <w:jc w:val="left"/>
              <w:rPr>
                <w:rFonts w:ascii="Calibri" w:hAnsi="Calibri" w:cs="Calibri"/>
                <w:sz w:val="18"/>
                <w:szCs w:val="18"/>
              </w:rPr>
            </w:pPr>
            <w:r w:rsidRPr="00A51E1A">
              <w:rPr>
                <w:rFonts w:ascii="Calibri" w:hAnsi="Calibri" w:cs="Calibri"/>
                <w:sz w:val="18"/>
                <w:szCs w:val="18"/>
              </w:rPr>
              <w:t>Table 7.6.2-1</w:t>
            </w:r>
          </w:p>
          <w:p w14:paraId="6AC25F31" w14:textId="44228EFA" w:rsidR="00A51E1A" w:rsidRPr="00AA082B" w:rsidRDefault="00A51E1A" w:rsidP="00FF5641">
            <w:pPr>
              <w:spacing w:after="0"/>
              <w:jc w:val="left"/>
              <w:rPr>
                <w:rFonts w:ascii="Calibri" w:hAnsi="Calibri" w:cs="Calibri"/>
                <w:sz w:val="18"/>
                <w:szCs w:val="18"/>
              </w:rPr>
            </w:pPr>
            <w:r w:rsidRPr="00A51E1A">
              <w:rPr>
                <w:rFonts w:ascii="Calibri" w:hAnsi="Calibri" w:cs="Calibri"/>
                <w:sz w:val="18"/>
                <w:szCs w:val="18"/>
              </w:rPr>
              <w:t>Table 7.6.5-1</w:t>
            </w:r>
          </w:p>
        </w:tc>
        <w:tc>
          <w:tcPr>
            <w:tcW w:w="1454" w:type="dxa"/>
          </w:tcPr>
          <w:p w14:paraId="3DCAC606" w14:textId="77777777" w:rsidR="00036E49" w:rsidRPr="00AA082B"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698" w:type="dxa"/>
          </w:tcPr>
          <w:p w14:paraId="271BAB40" w14:textId="77777777" w:rsidR="00036E49" w:rsidRPr="00AA082B" w:rsidRDefault="00036E49" w:rsidP="00700C5C">
            <w:pPr>
              <w:jc w:val="left"/>
              <w:rPr>
                <w:rFonts w:ascii="Calibri" w:hAnsi="Calibri" w:cs="Calibri"/>
                <w:sz w:val="18"/>
                <w:szCs w:val="18"/>
              </w:rPr>
            </w:pPr>
            <w:r w:rsidRPr="00AA082B">
              <w:rPr>
                <w:rFonts w:ascii="Calibri" w:hAnsi="Calibri" w:cs="Calibri"/>
                <w:sz w:val="18"/>
                <w:szCs w:val="18"/>
              </w:rPr>
              <w:t xml:space="preserve">Not support </w:t>
            </w:r>
          </w:p>
        </w:tc>
        <w:tc>
          <w:tcPr>
            <w:tcW w:w="1456" w:type="dxa"/>
          </w:tcPr>
          <w:p w14:paraId="6E863F88" w14:textId="3D9A6872" w:rsidR="00036E49"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456" w:type="dxa"/>
          </w:tcPr>
          <w:p w14:paraId="16F5F25F" w14:textId="446422AC" w:rsidR="00036E49" w:rsidRPr="00AA082B" w:rsidRDefault="00036E49" w:rsidP="007A7FE3">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p>
        </w:tc>
        <w:tc>
          <w:tcPr>
            <w:tcW w:w="1455" w:type="dxa"/>
          </w:tcPr>
          <w:p w14:paraId="789791D8" w14:textId="6EF82744" w:rsidR="00036E49" w:rsidRPr="00AA082B" w:rsidRDefault="00036E49" w:rsidP="007A7FE3">
            <w:pPr>
              <w:jc w:val="left"/>
              <w:rPr>
                <w:rFonts w:ascii="Calibri" w:hAnsi="Calibri" w:cs="Calibri"/>
                <w:sz w:val="18"/>
                <w:szCs w:val="18"/>
              </w:rPr>
            </w:pPr>
            <w:r w:rsidRPr="00AA082B">
              <w:rPr>
                <w:rFonts w:ascii="Calibri" w:hAnsi="Calibri" w:cs="Calibri"/>
                <w:sz w:val="18"/>
                <w:szCs w:val="18"/>
              </w:rPr>
              <w:t>Not support</w:t>
            </w:r>
          </w:p>
        </w:tc>
        <w:tc>
          <w:tcPr>
            <w:tcW w:w="1604" w:type="dxa"/>
          </w:tcPr>
          <w:p w14:paraId="06F8A848" w14:textId="5F159498" w:rsidR="00036E49" w:rsidRDefault="00036E4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w:t>
            </w:r>
          </w:p>
        </w:tc>
        <w:tc>
          <w:tcPr>
            <w:tcW w:w="1455" w:type="dxa"/>
          </w:tcPr>
          <w:p w14:paraId="08E3A3EB" w14:textId="184A4613" w:rsidR="00036E49" w:rsidRPr="00AA082B" w:rsidRDefault="00036E49" w:rsidP="007A7FE3">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p>
        </w:tc>
        <w:tc>
          <w:tcPr>
            <w:tcW w:w="1456" w:type="dxa"/>
          </w:tcPr>
          <w:p w14:paraId="76D24333" w14:textId="6FA5A883" w:rsidR="00036E49" w:rsidRPr="00AA082B" w:rsidRDefault="00036E49" w:rsidP="007A7FE3">
            <w:pPr>
              <w:jc w:val="left"/>
              <w:rPr>
                <w:rFonts w:ascii="Calibri" w:hAnsi="Calibri" w:cs="Calibri"/>
                <w:sz w:val="18"/>
                <w:szCs w:val="18"/>
              </w:rPr>
            </w:pPr>
            <w:r w:rsidRPr="00AA082B">
              <w:rPr>
                <w:rFonts w:ascii="Calibri" w:hAnsi="Calibri" w:cs="Calibri"/>
                <w:sz w:val="18"/>
                <w:szCs w:val="18"/>
              </w:rPr>
              <w:t>Not support</w:t>
            </w:r>
          </w:p>
        </w:tc>
      </w:tr>
      <w:tr w:rsidR="009F16D9" w14:paraId="64F2A479" w14:textId="77777777" w:rsidTr="00FF5641">
        <w:tc>
          <w:tcPr>
            <w:tcW w:w="562" w:type="dxa"/>
          </w:tcPr>
          <w:p w14:paraId="03CABB10" w14:textId="77777777" w:rsidR="009F16D9" w:rsidRPr="00AA082B" w:rsidRDefault="009F16D9" w:rsidP="00FF5641">
            <w:pPr>
              <w:spacing w:after="0"/>
              <w:jc w:val="left"/>
              <w:rPr>
                <w:rFonts w:ascii="Calibri" w:hAnsi="Calibri" w:cs="Calibri"/>
                <w:sz w:val="18"/>
                <w:szCs w:val="18"/>
              </w:rPr>
            </w:pPr>
            <w:r>
              <w:rPr>
                <w:rFonts w:ascii="Calibri" w:hAnsi="Calibri" w:cs="Calibri" w:hint="eastAsia"/>
                <w:sz w:val="18"/>
                <w:szCs w:val="18"/>
              </w:rPr>
              <w:t>2</w:t>
            </w:r>
          </w:p>
        </w:tc>
        <w:tc>
          <w:tcPr>
            <w:tcW w:w="1682" w:type="dxa"/>
          </w:tcPr>
          <w:p w14:paraId="537AB000" w14:textId="7240A6A4" w:rsidR="009F16D9" w:rsidRDefault="009F16D9" w:rsidP="00FF5641">
            <w:pPr>
              <w:spacing w:after="0"/>
              <w:jc w:val="left"/>
              <w:rPr>
                <w:rFonts w:ascii="Calibri" w:hAnsi="Calibri" w:cs="Calibri"/>
                <w:sz w:val="18"/>
                <w:szCs w:val="18"/>
              </w:rPr>
            </w:pPr>
            <w:r w:rsidRPr="00AA082B">
              <w:rPr>
                <w:rFonts w:ascii="Calibri" w:hAnsi="Calibri" w:cs="Calibri"/>
                <w:sz w:val="18"/>
                <w:szCs w:val="18"/>
              </w:rPr>
              <w:t>Sync, Type-</w:t>
            </w:r>
            <w:r>
              <w:rPr>
                <w:rFonts w:ascii="Calibri" w:hAnsi="Calibri" w:cs="Calibri"/>
                <w:sz w:val="18"/>
                <w:szCs w:val="18"/>
              </w:rPr>
              <w:t>2</w:t>
            </w:r>
          </w:p>
          <w:p w14:paraId="51980DFF" w14:textId="5948ED48"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4580D9A8"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lastRenderedPageBreak/>
              <w:t>Table 7.5.2.1-1</w:t>
            </w:r>
          </w:p>
          <w:p w14:paraId="576D7C7F"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7.5.5.1-1</w:t>
            </w:r>
          </w:p>
          <w:p w14:paraId="325E3713" w14:textId="79170358"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2C3DA22A" w14:textId="77777777" w:rsidR="009F16D9" w:rsidRPr="00A51E1A" w:rsidRDefault="009F16D9" w:rsidP="00FF5641">
            <w:pPr>
              <w:spacing w:after="0"/>
              <w:jc w:val="left"/>
              <w:rPr>
                <w:rFonts w:ascii="Calibri" w:hAnsi="Calibri" w:cs="Calibri"/>
                <w:sz w:val="18"/>
                <w:szCs w:val="18"/>
              </w:rPr>
            </w:pPr>
            <w:r w:rsidRPr="00A51E1A">
              <w:rPr>
                <w:rFonts w:ascii="Calibri" w:hAnsi="Calibri" w:cs="Calibri"/>
                <w:sz w:val="18"/>
                <w:szCs w:val="18"/>
              </w:rPr>
              <w:t>Table 7.6.2.1-1</w:t>
            </w:r>
          </w:p>
          <w:p w14:paraId="59C7C212" w14:textId="5382ED7D" w:rsidR="009F16D9" w:rsidRPr="00AA082B" w:rsidRDefault="009F16D9" w:rsidP="00FF5641">
            <w:pPr>
              <w:spacing w:after="0"/>
              <w:jc w:val="left"/>
              <w:rPr>
                <w:rFonts w:ascii="Calibri" w:hAnsi="Calibri" w:cs="Calibri"/>
                <w:sz w:val="18"/>
                <w:szCs w:val="18"/>
              </w:rPr>
            </w:pPr>
            <w:r w:rsidRPr="00A51E1A">
              <w:rPr>
                <w:rFonts w:ascii="Calibri" w:hAnsi="Calibri" w:cs="Calibri"/>
                <w:sz w:val="18"/>
                <w:szCs w:val="18"/>
              </w:rPr>
              <w:t>Table 7.6.5.1-1</w:t>
            </w:r>
          </w:p>
        </w:tc>
        <w:tc>
          <w:tcPr>
            <w:tcW w:w="1454" w:type="dxa"/>
          </w:tcPr>
          <w:p w14:paraId="5F6D04BA" w14:textId="77777777" w:rsidR="009F16D9" w:rsidRPr="00AA082B" w:rsidRDefault="009F16D9" w:rsidP="00700C5C">
            <w:pPr>
              <w:jc w:val="left"/>
              <w:rPr>
                <w:rFonts w:ascii="Calibri" w:hAnsi="Calibri" w:cs="Calibri"/>
                <w:sz w:val="18"/>
                <w:szCs w:val="18"/>
              </w:rPr>
            </w:pPr>
            <w:r>
              <w:rPr>
                <w:rFonts w:ascii="Calibri" w:hAnsi="Calibri" w:cs="Calibri" w:hint="eastAsia"/>
                <w:sz w:val="18"/>
                <w:szCs w:val="18"/>
              </w:rPr>
              <w:lastRenderedPageBreak/>
              <w:t>N</w:t>
            </w:r>
            <w:r>
              <w:rPr>
                <w:rFonts w:ascii="Calibri" w:hAnsi="Calibri" w:cs="Calibri"/>
                <w:sz w:val="18"/>
                <w:szCs w:val="18"/>
              </w:rPr>
              <w:t>ot Support</w:t>
            </w:r>
          </w:p>
        </w:tc>
        <w:tc>
          <w:tcPr>
            <w:tcW w:w="1698" w:type="dxa"/>
          </w:tcPr>
          <w:p w14:paraId="745B4BC1" w14:textId="77777777" w:rsidR="009F16D9" w:rsidRPr="00AA082B" w:rsidRDefault="009F16D9" w:rsidP="00700C5C">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tc>
        <w:tc>
          <w:tcPr>
            <w:tcW w:w="1456" w:type="dxa"/>
            <w:vMerge w:val="restart"/>
          </w:tcPr>
          <w:p w14:paraId="6D761270" w14:textId="3F281FB4" w:rsidR="009F16D9" w:rsidRDefault="009F16D9" w:rsidP="00700C5C">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65AE3F1B" w14:textId="65D20B1F" w:rsidR="009F16D9" w:rsidRPr="00AA082B" w:rsidRDefault="009F16D9" w:rsidP="00FF5641">
            <w:pPr>
              <w:jc w:val="left"/>
              <w:rPr>
                <w:rFonts w:ascii="Calibri" w:hAnsi="Calibri" w:cs="Calibri"/>
                <w:sz w:val="18"/>
                <w:szCs w:val="18"/>
              </w:rPr>
            </w:pPr>
          </w:p>
        </w:tc>
        <w:tc>
          <w:tcPr>
            <w:tcW w:w="1456" w:type="dxa"/>
          </w:tcPr>
          <w:p w14:paraId="7267A29F" w14:textId="67C76175" w:rsidR="009F16D9" w:rsidRPr="00AA082B" w:rsidRDefault="009F16D9" w:rsidP="00700C5C">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r w:rsidRPr="00AA082B">
              <w:rPr>
                <w:rFonts w:ascii="Calibri" w:hAnsi="Calibri" w:cs="Calibri"/>
                <w:sz w:val="18"/>
                <w:szCs w:val="18"/>
              </w:rPr>
              <w:t xml:space="preserve"> </w:t>
            </w:r>
          </w:p>
        </w:tc>
        <w:tc>
          <w:tcPr>
            <w:tcW w:w="1455" w:type="dxa"/>
            <w:vMerge w:val="restart"/>
          </w:tcPr>
          <w:p w14:paraId="0CD6AE6B" w14:textId="2680B1E4"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22EDEDB4" w14:textId="46018C1D" w:rsidR="009F16D9" w:rsidRPr="00AA082B" w:rsidRDefault="009F16D9" w:rsidP="00FF5641">
            <w:pPr>
              <w:jc w:val="left"/>
              <w:rPr>
                <w:rFonts w:ascii="Calibri" w:hAnsi="Calibri" w:cs="Calibri"/>
                <w:sz w:val="18"/>
                <w:szCs w:val="18"/>
              </w:rPr>
            </w:pPr>
          </w:p>
        </w:tc>
        <w:tc>
          <w:tcPr>
            <w:tcW w:w="1604" w:type="dxa"/>
            <w:vMerge w:val="restart"/>
          </w:tcPr>
          <w:p w14:paraId="1CC4DA06" w14:textId="0392ED45"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46ECE488" w14:textId="446904EF" w:rsidR="009F16D9" w:rsidRPr="00AA082B" w:rsidRDefault="009F16D9" w:rsidP="00FF5641">
            <w:pPr>
              <w:jc w:val="left"/>
              <w:rPr>
                <w:rFonts w:ascii="Calibri" w:hAnsi="Calibri" w:cs="Calibri"/>
                <w:sz w:val="18"/>
                <w:szCs w:val="18"/>
              </w:rPr>
            </w:pPr>
          </w:p>
        </w:tc>
        <w:tc>
          <w:tcPr>
            <w:tcW w:w="1455" w:type="dxa"/>
          </w:tcPr>
          <w:p w14:paraId="15C4CF7C" w14:textId="06AC4F90" w:rsidR="009F16D9" w:rsidRPr="00AA082B" w:rsidRDefault="009F16D9" w:rsidP="00700C5C">
            <w:pPr>
              <w:jc w:val="left"/>
              <w:rPr>
                <w:rFonts w:ascii="Calibri" w:hAnsi="Calibri" w:cs="Calibri"/>
                <w:sz w:val="18"/>
                <w:szCs w:val="18"/>
              </w:rPr>
            </w:pPr>
            <w:r>
              <w:rPr>
                <w:rFonts w:ascii="Calibri" w:hAnsi="Calibri" w:cs="Calibri" w:hint="eastAsia"/>
                <w:sz w:val="18"/>
                <w:szCs w:val="18"/>
              </w:rPr>
              <w:t>M</w:t>
            </w:r>
            <w:r>
              <w:rPr>
                <w:rFonts w:ascii="Calibri" w:hAnsi="Calibri" w:cs="Calibri"/>
                <w:sz w:val="18"/>
                <w:szCs w:val="18"/>
              </w:rPr>
              <w:t>andatory support</w:t>
            </w:r>
            <w:r w:rsidRPr="00AA082B">
              <w:rPr>
                <w:rFonts w:ascii="Calibri" w:hAnsi="Calibri" w:cs="Calibri"/>
                <w:sz w:val="18"/>
                <w:szCs w:val="18"/>
              </w:rPr>
              <w:t xml:space="preserve"> </w:t>
            </w:r>
          </w:p>
        </w:tc>
        <w:tc>
          <w:tcPr>
            <w:tcW w:w="1456" w:type="dxa"/>
            <w:vMerge w:val="restart"/>
          </w:tcPr>
          <w:p w14:paraId="3A587933" w14:textId="5C96498A" w:rsidR="009F16D9" w:rsidRPr="00AA082B" w:rsidRDefault="009F16D9" w:rsidP="00923E61">
            <w:pPr>
              <w:jc w:val="left"/>
              <w:rPr>
                <w:rFonts w:ascii="Calibri" w:hAnsi="Calibri" w:cs="Calibri"/>
                <w:sz w:val="18"/>
                <w:szCs w:val="18"/>
              </w:rPr>
            </w:pPr>
            <w:r w:rsidRPr="00AA082B">
              <w:rPr>
                <w:rFonts w:ascii="Calibri" w:hAnsi="Calibri" w:cs="Calibri"/>
                <w:sz w:val="18"/>
                <w:szCs w:val="18"/>
              </w:rPr>
              <w:t>Capability-based</w:t>
            </w:r>
            <w:r>
              <w:rPr>
                <w:rFonts w:ascii="Calibri" w:hAnsi="Calibri" w:cs="Calibri"/>
                <w:sz w:val="18"/>
                <w:szCs w:val="18"/>
              </w:rPr>
              <w:t xml:space="preserve"> Support </w:t>
            </w:r>
          </w:p>
          <w:p w14:paraId="6F2E795C" w14:textId="0BEF1AD8" w:rsidR="009F16D9" w:rsidRPr="00AA082B" w:rsidRDefault="009F16D9" w:rsidP="00FF5641">
            <w:pPr>
              <w:jc w:val="left"/>
              <w:rPr>
                <w:rFonts w:ascii="Calibri" w:hAnsi="Calibri" w:cs="Calibri"/>
                <w:sz w:val="18"/>
                <w:szCs w:val="18"/>
              </w:rPr>
            </w:pPr>
          </w:p>
        </w:tc>
      </w:tr>
      <w:tr w:rsidR="009F16D9" w14:paraId="418F8332" w14:textId="77777777" w:rsidTr="00FF5641">
        <w:tc>
          <w:tcPr>
            <w:tcW w:w="562" w:type="dxa"/>
          </w:tcPr>
          <w:p w14:paraId="75554F28" w14:textId="20D38C17" w:rsidR="009F16D9" w:rsidRDefault="009F16D9" w:rsidP="00FF5641">
            <w:pPr>
              <w:spacing w:after="0"/>
              <w:jc w:val="left"/>
              <w:rPr>
                <w:rFonts w:ascii="Calibri" w:hAnsi="Calibri" w:cs="Calibri"/>
                <w:sz w:val="18"/>
                <w:szCs w:val="18"/>
              </w:rPr>
            </w:pPr>
            <w:r>
              <w:rPr>
                <w:rFonts w:ascii="Calibri" w:hAnsi="Calibri" w:cs="Calibri" w:hint="eastAsia"/>
                <w:sz w:val="18"/>
                <w:szCs w:val="18"/>
              </w:rPr>
              <w:t>3</w:t>
            </w:r>
          </w:p>
        </w:tc>
        <w:tc>
          <w:tcPr>
            <w:tcW w:w="1682" w:type="dxa"/>
          </w:tcPr>
          <w:p w14:paraId="6EB2171C" w14:textId="77777777" w:rsidR="009F16D9" w:rsidRDefault="009F16D9" w:rsidP="00FF5641">
            <w:pPr>
              <w:spacing w:after="0"/>
              <w:jc w:val="left"/>
              <w:rPr>
                <w:rFonts w:ascii="Calibri" w:hAnsi="Calibri" w:cs="Calibri"/>
                <w:sz w:val="18"/>
                <w:szCs w:val="18"/>
              </w:rPr>
            </w:pPr>
            <w:r w:rsidRPr="00AA082B">
              <w:rPr>
                <w:rFonts w:ascii="Calibri" w:hAnsi="Calibri" w:cs="Calibri"/>
                <w:sz w:val="18"/>
                <w:szCs w:val="18"/>
              </w:rPr>
              <w:t>Sync, Type-</w:t>
            </w:r>
            <w:r>
              <w:rPr>
                <w:rFonts w:ascii="Calibri" w:hAnsi="Calibri" w:cs="Calibri"/>
                <w:sz w:val="18"/>
                <w:szCs w:val="18"/>
              </w:rPr>
              <w:t>1</w:t>
            </w:r>
          </w:p>
          <w:p w14:paraId="412D7553" w14:textId="77777777"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TTD:</w:t>
            </w:r>
          </w:p>
          <w:p w14:paraId="07FAB737" w14:textId="77777777" w:rsidR="009F16D9" w:rsidRDefault="009F16D9" w:rsidP="00FF5641">
            <w:pPr>
              <w:spacing w:after="0"/>
              <w:jc w:val="left"/>
              <w:rPr>
                <w:rFonts w:ascii="Calibri" w:hAnsi="Calibri" w:cs="Calibri"/>
                <w:sz w:val="18"/>
                <w:szCs w:val="18"/>
              </w:rPr>
            </w:pPr>
            <w:r w:rsidRPr="00A51E1A">
              <w:rPr>
                <w:rFonts w:ascii="Calibri" w:hAnsi="Calibri" w:cs="Calibri"/>
                <w:sz w:val="18"/>
                <w:szCs w:val="18"/>
              </w:rPr>
              <w:t>Table 7.5.3-1</w:t>
            </w:r>
          </w:p>
          <w:p w14:paraId="38536617" w14:textId="77777777" w:rsidR="009F16D9" w:rsidRPr="00A51E1A" w:rsidRDefault="009F16D9" w:rsidP="00FF5641">
            <w:pPr>
              <w:spacing w:after="0"/>
              <w:jc w:val="left"/>
              <w:rPr>
                <w:rFonts w:ascii="Calibri" w:hAnsi="Calibri" w:cs="Calibri"/>
                <w:b/>
                <w:bCs/>
                <w:sz w:val="18"/>
                <w:szCs w:val="18"/>
              </w:rPr>
            </w:pPr>
            <w:r w:rsidRPr="00A51E1A">
              <w:rPr>
                <w:rFonts w:ascii="Calibri" w:hAnsi="Calibri" w:cs="Calibri" w:hint="eastAsia"/>
                <w:b/>
                <w:bCs/>
                <w:sz w:val="18"/>
                <w:szCs w:val="18"/>
              </w:rPr>
              <w:t>M</w:t>
            </w:r>
            <w:r w:rsidRPr="00A51E1A">
              <w:rPr>
                <w:rFonts w:ascii="Calibri" w:hAnsi="Calibri" w:cs="Calibri"/>
                <w:b/>
                <w:bCs/>
                <w:sz w:val="18"/>
                <w:szCs w:val="18"/>
              </w:rPr>
              <w:t>RTD:</w:t>
            </w:r>
          </w:p>
          <w:p w14:paraId="64CA994E" w14:textId="7280412A" w:rsidR="009F16D9" w:rsidRPr="00AA082B" w:rsidRDefault="009F16D9" w:rsidP="00FF5641">
            <w:pPr>
              <w:spacing w:after="0"/>
              <w:jc w:val="left"/>
              <w:rPr>
                <w:rFonts w:ascii="Calibri" w:hAnsi="Calibri" w:cs="Calibri"/>
                <w:sz w:val="18"/>
                <w:szCs w:val="18"/>
              </w:rPr>
            </w:pPr>
            <w:r w:rsidRPr="00A51E1A">
              <w:rPr>
                <w:rFonts w:ascii="Calibri" w:hAnsi="Calibri" w:cs="Calibri"/>
                <w:sz w:val="18"/>
                <w:szCs w:val="18"/>
              </w:rPr>
              <w:t>Table 7.6.3-1</w:t>
            </w:r>
          </w:p>
        </w:tc>
        <w:tc>
          <w:tcPr>
            <w:tcW w:w="1454" w:type="dxa"/>
          </w:tcPr>
          <w:p w14:paraId="4B683534" w14:textId="3D50ED08" w:rsidR="009F16D9" w:rsidRDefault="009F16D9" w:rsidP="00FF5641">
            <w:pPr>
              <w:jc w:val="left"/>
              <w:rPr>
                <w:rFonts w:ascii="Calibri" w:hAnsi="Calibri" w:cs="Calibri"/>
                <w:sz w:val="18"/>
                <w:szCs w:val="18"/>
              </w:rPr>
            </w:pPr>
            <w:r>
              <w:rPr>
                <w:rFonts w:ascii="Calibri" w:hAnsi="Calibri" w:cs="Calibri"/>
                <w:sz w:val="18"/>
                <w:szCs w:val="18"/>
              </w:rPr>
              <w:t>Mandatory Support</w:t>
            </w:r>
          </w:p>
        </w:tc>
        <w:tc>
          <w:tcPr>
            <w:tcW w:w="1698" w:type="dxa"/>
          </w:tcPr>
          <w:p w14:paraId="77CDECFF" w14:textId="64A220A6" w:rsidR="009F16D9" w:rsidRDefault="009F16D9" w:rsidP="00FF5641">
            <w:pPr>
              <w:jc w:val="left"/>
              <w:rPr>
                <w:rFonts w:ascii="Calibri" w:hAnsi="Calibri" w:cs="Calibri"/>
                <w:sz w:val="18"/>
                <w:szCs w:val="18"/>
              </w:rPr>
            </w:pPr>
            <w:r>
              <w:rPr>
                <w:rFonts w:ascii="Calibri" w:hAnsi="Calibri" w:cs="Calibri"/>
                <w:sz w:val="18"/>
                <w:szCs w:val="18"/>
              </w:rPr>
              <w:t>Mandatory Support</w:t>
            </w:r>
          </w:p>
        </w:tc>
        <w:tc>
          <w:tcPr>
            <w:tcW w:w="1456" w:type="dxa"/>
            <w:vMerge/>
          </w:tcPr>
          <w:p w14:paraId="3209DC10" w14:textId="725D6356" w:rsidR="009F16D9" w:rsidRPr="00AA082B" w:rsidRDefault="009F16D9" w:rsidP="00FF5641">
            <w:pPr>
              <w:jc w:val="left"/>
              <w:rPr>
                <w:rFonts w:ascii="Calibri" w:hAnsi="Calibri" w:cs="Calibri"/>
                <w:sz w:val="18"/>
                <w:szCs w:val="18"/>
              </w:rPr>
            </w:pPr>
          </w:p>
        </w:tc>
        <w:tc>
          <w:tcPr>
            <w:tcW w:w="1456" w:type="dxa"/>
          </w:tcPr>
          <w:p w14:paraId="28CF1246" w14:textId="77777777" w:rsidR="009F16D9" w:rsidRPr="00AA082B" w:rsidRDefault="009F16D9" w:rsidP="00FF5641">
            <w:pPr>
              <w:jc w:val="left"/>
              <w:rPr>
                <w:rFonts w:ascii="Calibri" w:hAnsi="Calibri" w:cs="Calibri"/>
                <w:sz w:val="18"/>
                <w:szCs w:val="18"/>
              </w:rPr>
            </w:pPr>
            <w:r w:rsidRPr="00AA082B">
              <w:rPr>
                <w:rFonts w:ascii="Calibri" w:hAnsi="Calibri" w:cs="Calibri"/>
                <w:sz w:val="18"/>
                <w:szCs w:val="18"/>
              </w:rPr>
              <w:t xml:space="preserve">Not </w:t>
            </w:r>
            <w:proofErr w:type="gramStart"/>
            <w:r w:rsidRPr="00AA082B">
              <w:rPr>
                <w:rFonts w:ascii="Calibri" w:hAnsi="Calibri" w:cs="Calibri"/>
                <w:sz w:val="18"/>
                <w:szCs w:val="18"/>
              </w:rPr>
              <w:t>support</w:t>
            </w:r>
            <w:proofErr w:type="gramEnd"/>
          </w:p>
          <w:p w14:paraId="3F4C1B2B" w14:textId="77777777" w:rsidR="009F16D9" w:rsidRDefault="009F16D9" w:rsidP="00FF5641">
            <w:pPr>
              <w:jc w:val="left"/>
              <w:rPr>
                <w:rFonts w:ascii="Calibri" w:hAnsi="Calibri" w:cs="Calibri"/>
                <w:sz w:val="18"/>
                <w:szCs w:val="18"/>
              </w:rPr>
            </w:pPr>
          </w:p>
        </w:tc>
        <w:tc>
          <w:tcPr>
            <w:tcW w:w="1455" w:type="dxa"/>
            <w:vMerge/>
          </w:tcPr>
          <w:p w14:paraId="65BB13CA" w14:textId="48C701E3" w:rsidR="009F16D9" w:rsidRPr="00AA082B" w:rsidRDefault="009F16D9" w:rsidP="00FF5641">
            <w:pPr>
              <w:jc w:val="left"/>
              <w:rPr>
                <w:rFonts w:ascii="Calibri" w:hAnsi="Calibri" w:cs="Calibri"/>
                <w:sz w:val="18"/>
                <w:szCs w:val="18"/>
              </w:rPr>
            </w:pPr>
          </w:p>
        </w:tc>
        <w:tc>
          <w:tcPr>
            <w:tcW w:w="1604" w:type="dxa"/>
            <w:vMerge/>
          </w:tcPr>
          <w:p w14:paraId="54F31E0C" w14:textId="0A006C2B" w:rsidR="009F16D9" w:rsidRPr="00AA082B" w:rsidRDefault="009F16D9" w:rsidP="00FF5641">
            <w:pPr>
              <w:jc w:val="left"/>
              <w:rPr>
                <w:rFonts w:ascii="Calibri" w:hAnsi="Calibri" w:cs="Calibri"/>
                <w:sz w:val="18"/>
                <w:szCs w:val="18"/>
              </w:rPr>
            </w:pPr>
          </w:p>
        </w:tc>
        <w:tc>
          <w:tcPr>
            <w:tcW w:w="1455" w:type="dxa"/>
          </w:tcPr>
          <w:p w14:paraId="06D96532" w14:textId="77777777" w:rsidR="009F16D9" w:rsidRPr="00AA082B" w:rsidRDefault="009F16D9" w:rsidP="00FF5641">
            <w:pPr>
              <w:jc w:val="left"/>
              <w:rPr>
                <w:rFonts w:ascii="Calibri" w:hAnsi="Calibri" w:cs="Calibri"/>
                <w:sz w:val="18"/>
                <w:szCs w:val="18"/>
              </w:rPr>
            </w:pPr>
            <w:r>
              <w:rPr>
                <w:rFonts w:ascii="Calibri" w:hAnsi="Calibri" w:cs="Calibri" w:hint="eastAsia"/>
                <w:sz w:val="18"/>
                <w:szCs w:val="18"/>
              </w:rPr>
              <w:t>N</w:t>
            </w:r>
            <w:r>
              <w:rPr>
                <w:rFonts w:ascii="Calibri" w:hAnsi="Calibri" w:cs="Calibri"/>
                <w:sz w:val="18"/>
                <w:szCs w:val="18"/>
              </w:rPr>
              <w:t>ot Support</w:t>
            </w:r>
          </w:p>
          <w:p w14:paraId="0DD4A142" w14:textId="77777777" w:rsidR="009F16D9" w:rsidRDefault="009F16D9" w:rsidP="00FF5641">
            <w:pPr>
              <w:jc w:val="left"/>
              <w:rPr>
                <w:rFonts w:ascii="Calibri" w:hAnsi="Calibri" w:cs="Calibri"/>
                <w:sz w:val="18"/>
                <w:szCs w:val="18"/>
              </w:rPr>
            </w:pPr>
          </w:p>
        </w:tc>
        <w:tc>
          <w:tcPr>
            <w:tcW w:w="1456" w:type="dxa"/>
            <w:vMerge/>
          </w:tcPr>
          <w:p w14:paraId="313B0DDC" w14:textId="02731BB4" w:rsidR="009F16D9" w:rsidRPr="00AA082B" w:rsidRDefault="009F16D9" w:rsidP="00FF5641">
            <w:pPr>
              <w:jc w:val="left"/>
              <w:rPr>
                <w:rFonts w:ascii="Calibri" w:hAnsi="Calibri" w:cs="Calibri"/>
                <w:sz w:val="18"/>
                <w:szCs w:val="18"/>
              </w:rPr>
            </w:pPr>
          </w:p>
        </w:tc>
      </w:tr>
    </w:tbl>
    <w:p w14:paraId="7A94CF0C" w14:textId="1BCC8008" w:rsidR="007A7FE3" w:rsidRPr="007A7FE3" w:rsidRDefault="007A7FE3" w:rsidP="007A7FE3">
      <w:pPr>
        <w:pStyle w:val="2"/>
      </w:pPr>
      <w:r>
        <w:t>Issue-</w:t>
      </w:r>
      <w:r w:rsidR="00177B03">
        <w:t>1</w:t>
      </w:r>
      <w:r>
        <w:t xml:space="preserve">: </w:t>
      </w:r>
      <w:r>
        <w:rPr>
          <w:rFonts w:hint="eastAsia"/>
        </w:rPr>
        <w:t>H</w:t>
      </w:r>
      <w:r>
        <w:t>ow for UE to decide which performance requirement to follow</w:t>
      </w:r>
    </w:p>
    <w:p w14:paraId="19EC3011" w14:textId="6DD1FABC"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O</w:t>
      </w:r>
      <w:r>
        <w:t xml:space="preserve">nly for </w:t>
      </w:r>
      <w:r w:rsidRPr="007A7FE3">
        <w:rPr>
          <w:highlight w:val="cyan"/>
        </w:rPr>
        <w:t>intra-band, TDD-TDD, EN-DC</w:t>
      </w:r>
      <w:r>
        <w:t xml:space="preserve">, UE just needs to support a single performance request (synchronous, type-1). Otherwise, for other scenarios, UE </w:t>
      </w:r>
      <w:proofErr w:type="gramStart"/>
      <w:r>
        <w:t>has to</w:t>
      </w:r>
      <w:proofErr w:type="gramEnd"/>
      <w:r>
        <w:t xml:space="preserve"> support more than one performance requirements.</w:t>
      </w:r>
    </w:p>
    <w:p w14:paraId="31BB19FB" w14:textId="06676C7A"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F</w:t>
      </w:r>
      <w:r>
        <w:t xml:space="preserve">or scenarios of 1) intra-band, EN-DC, FDD-FDD, 2) inter-band, EN-DC, </w:t>
      </w:r>
      <w:r w:rsidR="006E4A33">
        <w:t>FDD-FDD/FDD-TDD/TDD-FDD</w:t>
      </w:r>
      <w:r w:rsidR="004E79FC">
        <w:t xml:space="preserve"> and TDD-TDD without overlapping</w:t>
      </w:r>
      <w:r>
        <w:t xml:space="preserve">, and 3) inter-band, NE-DC, </w:t>
      </w:r>
      <w:r w:rsidR="006E4A33">
        <w:t>FDD-FDD/FDD-TDD/TDD-FDD</w:t>
      </w:r>
      <w:r w:rsidR="004E79FC">
        <w:t xml:space="preserve"> and TDD without overlapping</w:t>
      </w:r>
      <w:r>
        <w:t>, it is not clear how for UE to select between asynchronous and synchronous requirements.</w:t>
      </w:r>
    </w:p>
    <w:p w14:paraId="0D971E44" w14:textId="2D2D03BC" w:rsidR="007A7FE3" w:rsidRDefault="007A7FE3" w:rsidP="007A7FE3">
      <w:pPr>
        <w:spacing w:beforeLines="50" w:before="120"/>
      </w:pPr>
      <w:r>
        <w:rPr>
          <w:rFonts w:hint="eastAsia"/>
        </w:rPr>
        <w:t>B</w:t>
      </w:r>
      <w:r>
        <w:t>ased on RP LS</w:t>
      </w:r>
    </w:p>
    <w:p w14:paraId="195E87B3" w14:textId="77777777" w:rsidR="007A7FE3" w:rsidRPr="006B0906" w:rsidRDefault="007A7FE3" w:rsidP="007A7FE3">
      <w:pPr>
        <w:pBdr>
          <w:top w:val="single" w:sz="4" w:space="1" w:color="auto"/>
          <w:left w:val="single" w:sz="4" w:space="4" w:color="auto"/>
          <w:bottom w:val="single" w:sz="4" w:space="1" w:color="auto"/>
          <w:right w:val="single" w:sz="4" w:space="4" w:color="auto"/>
        </w:pBdr>
        <w:textAlignment w:val="auto"/>
        <w:rPr>
          <w:rFonts w:eastAsia="Arial Unicode MS" w:cs="Arial"/>
          <w:b/>
          <w:color w:val="000000" w:themeColor="text1"/>
          <w:sz w:val="21"/>
          <w:szCs w:val="21"/>
          <w:u w:val="single"/>
        </w:rPr>
      </w:pPr>
      <w:r w:rsidRPr="006B0906">
        <w:rPr>
          <w:rFonts w:eastAsia="Arial Unicode MS" w:cs="Arial"/>
          <w:b/>
          <w:color w:val="000000" w:themeColor="text1"/>
          <w:sz w:val="21"/>
          <w:szCs w:val="21"/>
          <w:u w:val="single"/>
        </w:rPr>
        <w:t xml:space="preserve">For </w:t>
      </w:r>
      <w:r w:rsidRPr="007A7FE3">
        <w:rPr>
          <w:rFonts w:eastAsia="Arial Unicode MS" w:cs="Arial"/>
          <w:b/>
          <w:sz w:val="21"/>
          <w:szCs w:val="21"/>
          <w:highlight w:val="yellow"/>
          <w:u w:val="single"/>
        </w:rPr>
        <w:t>TDD-TDD</w:t>
      </w:r>
      <w:r w:rsidRPr="006B0906">
        <w:rPr>
          <w:rFonts w:eastAsia="Arial Unicode MS" w:cs="Arial"/>
          <w:b/>
          <w:sz w:val="21"/>
          <w:szCs w:val="21"/>
          <w:u w:val="single"/>
        </w:rPr>
        <w:t xml:space="preserve"> inter-band EN-DC with overlapping </w:t>
      </w:r>
      <w:r w:rsidRPr="006B0906">
        <w:rPr>
          <w:rFonts w:eastAsia="Arial Unicode MS" w:cs="Arial"/>
          <w:b/>
          <w:color w:val="000000"/>
          <w:sz w:val="21"/>
          <w:szCs w:val="21"/>
          <w:u w:val="single"/>
          <w:bdr w:val="none" w:sz="0" w:space="0" w:color="auto" w:frame="1"/>
          <w:shd w:val="clear" w:color="auto" w:fill="FFFFFF"/>
        </w:rPr>
        <w:t>or partially</w:t>
      </w:r>
      <w:r w:rsidRPr="006B0906">
        <w:rPr>
          <w:rFonts w:eastAsia="Arial Unicode MS" w:cs="Arial"/>
          <w:b/>
          <w:sz w:val="21"/>
          <w:szCs w:val="21"/>
          <w:u w:val="single"/>
        </w:rPr>
        <w:t xml:space="preserve"> overlapping bands</w:t>
      </w:r>
    </w:p>
    <w:p w14:paraId="5A88AFD9" w14:textId="77777777" w:rsidR="007A7FE3" w:rsidRDefault="007A7FE3" w:rsidP="007A7FE3">
      <w:pPr>
        <w:pBdr>
          <w:top w:val="single" w:sz="4" w:space="1" w:color="auto"/>
          <w:left w:val="single" w:sz="4" w:space="4" w:color="auto"/>
          <w:bottom w:val="single" w:sz="4" w:space="1" w:color="auto"/>
          <w:right w:val="single" w:sz="4" w:space="4" w:color="auto"/>
        </w:pBdr>
        <w:textAlignment w:val="auto"/>
        <w:rPr>
          <w:rFonts w:eastAsia="Arial Unicode MS" w:cs="Arial"/>
          <w:sz w:val="21"/>
          <w:szCs w:val="21"/>
        </w:rPr>
      </w:pPr>
      <w:r w:rsidRPr="0032270B">
        <w:rPr>
          <w:rFonts w:eastAsia="Arial Unicode MS" w:cs="Arial"/>
          <w:sz w:val="21"/>
          <w:szCs w:val="21"/>
        </w:rPr>
        <w:t>This new</w:t>
      </w:r>
      <w:r w:rsidRPr="0032270B">
        <w:rPr>
          <w:rFonts w:cs="Arial"/>
          <w:sz w:val="21"/>
          <w:szCs w:val="21"/>
        </w:rPr>
        <w:t xml:space="preserve"> BS signalling</w:t>
      </w:r>
      <w:r w:rsidRPr="0032270B">
        <w:rPr>
          <w:rFonts w:eastAsia="Arial Unicode MS" w:cs="Arial"/>
          <w:sz w:val="21"/>
          <w:szCs w:val="21"/>
        </w:rPr>
        <w:t xml:space="preserve"> is expected to be applicable for TDD-TDD inter-band EN-DC with overlapping </w:t>
      </w:r>
      <w:r w:rsidRPr="0032270B">
        <w:rPr>
          <w:rFonts w:eastAsia="Arial Unicode MS" w:cs="Arial"/>
          <w:color w:val="000000"/>
          <w:sz w:val="21"/>
          <w:szCs w:val="21"/>
          <w:bdr w:val="none" w:sz="0" w:space="0" w:color="auto" w:frame="1"/>
          <w:shd w:val="clear" w:color="auto" w:fill="FFFFFF"/>
        </w:rPr>
        <w:t>or partially</w:t>
      </w:r>
      <w:r w:rsidRPr="0032270B">
        <w:rPr>
          <w:rFonts w:eastAsia="Arial Unicode MS" w:cs="Arial"/>
          <w:sz w:val="21"/>
          <w:szCs w:val="21"/>
        </w:rPr>
        <w:t xml:space="preserve"> overlapping bands provided the UE has indicated </w:t>
      </w:r>
      <w:r>
        <w:rPr>
          <w:rFonts w:eastAsia="Arial Unicode MS" w:cs="Arial"/>
          <w:i/>
          <w:iCs/>
          <w:color w:val="000000" w:themeColor="text1"/>
          <w:sz w:val="21"/>
          <w:szCs w:val="21"/>
        </w:rPr>
        <w:t>“</w:t>
      </w:r>
      <w:r w:rsidRPr="00014E83">
        <w:rPr>
          <w:rFonts w:eastAsia="Arial Unicode MS" w:cs="Arial"/>
          <w:i/>
          <w:iCs/>
          <w:color w:val="000000" w:themeColor="text1"/>
          <w:sz w:val="21"/>
          <w:szCs w:val="21"/>
        </w:rPr>
        <w:t>interBandMRDC-WithOverlapDL-Bands-r16”</w:t>
      </w:r>
      <w:r w:rsidRPr="0032270B">
        <w:rPr>
          <w:rFonts w:eastAsia="Arial Unicode MS" w:cs="Arial"/>
          <w:sz w:val="21"/>
          <w:szCs w:val="21"/>
        </w:rPr>
        <w:t>.</w:t>
      </w:r>
    </w:p>
    <w:p w14:paraId="75D0D591" w14:textId="442662FA"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 xml:space="preserve">Only for </w:t>
      </w:r>
      <w:r w:rsidRPr="007A7FE3">
        <w:rPr>
          <w:highlight w:val="green"/>
        </w:rPr>
        <w:t>inter-band, EN-DC, TDD-TDD</w:t>
      </w:r>
      <w:r w:rsidR="002D6BFE">
        <w:t xml:space="preserve"> with overlapping frequency</w:t>
      </w:r>
      <w:r>
        <w:t xml:space="preserve">, a BS </w:t>
      </w:r>
      <w:proofErr w:type="spellStart"/>
      <w:r>
        <w:t>signaling</w:t>
      </w:r>
      <w:proofErr w:type="spellEnd"/>
      <w:r>
        <w:t xml:space="preserve"> is introduced to guide UE selection between two performance requirements (synchronous, type-1 vs. type-2).</w:t>
      </w:r>
    </w:p>
    <w:p w14:paraId="335D72B2" w14:textId="737F366C" w:rsidR="007A7FE3" w:rsidRDefault="007A7FE3" w:rsidP="007A7FE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F</w:t>
      </w:r>
      <w:r>
        <w:t>or scenarios of 1) inter-band, EN-DC, FDD-FDD</w:t>
      </w:r>
      <w:r w:rsidR="004E79FC">
        <w:t xml:space="preserve"> with overlapping</w:t>
      </w:r>
      <w:r>
        <w:t xml:space="preserve">, and 2) inter-band, NE-DC, </w:t>
      </w:r>
      <w:r>
        <w:rPr>
          <w:rFonts w:hint="eastAsia"/>
        </w:rPr>
        <w:t>FDD</w:t>
      </w:r>
      <w:r>
        <w:t>-FDD</w:t>
      </w:r>
      <w:r w:rsidR="004E79FC">
        <w:t>/</w:t>
      </w:r>
      <w:r>
        <w:t>TDD-TDD</w:t>
      </w:r>
      <w:r w:rsidR="004E79FC">
        <w:t xml:space="preserve"> with overlapping</w:t>
      </w:r>
      <w:r>
        <w:t>, it is not clear how for UE to select between synchronous type-1 and synchronous type-2 requirements.</w:t>
      </w:r>
    </w:p>
    <w:p w14:paraId="11BC55D7" w14:textId="7883B599" w:rsidR="007A7FE3" w:rsidRDefault="007A7FE3" w:rsidP="007A7FE3">
      <w:pPr>
        <w:spacing w:beforeLines="50" w:before="120"/>
      </w:pPr>
      <w:r>
        <w:rPr>
          <w:rFonts w:hint="eastAsia"/>
        </w:rPr>
        <w:t>G</w:t>
      </w:r>
      <w:r>
        <w:t xml:space="preserve">iven R2 is to introduce </w:t>
      </w:r>
      <w:proofErr w:type="spellStart"/>
      <w:r>
        <w:t>signaling</w:t>
      </w:r>
      <w:proofErr w:type="spellEnd"/>
      <w:r>
        <w:t xml:space="preserve"> for inter-band, EN-DC, TDD-TDD</w:t>
      </w:r>
      <w:r w:rsidR="004D79AB">
        <w:t xml:space="preserve"> with overlapping</w:t>
      </w:r>
      <w:r>
        <w:t xml:space="preserve"> case, it </w:t>
      </w:r>
      <w:proofErr w:type="gramStart"/>
      <w:r>
        <w:t>would</w:t>
      </w:r>
      <w:proofErr w:type="gramEnd"/>
      <w:r>
        <w:t xml:space="preserve"> helpful to clarify companies understanding on the similar issue for other deployment scenarios.</w:t>
      </w:r>
    </w:p>
    <w:p w14:paraId="1175F0C5" w14:textId="55D63D73" w:rsidR="00AD7910" w:rsidRDefault="00AD7910" w:rsidP="00AD791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9664947"/>
      <w:bookmarkStart w:id="7" w:name="_Toc149664948"/>
      <w:bookmarkStart w:id="8" w:name="_Toc149664949"/>
      <w:bookmarkStart w:id="9" w:name="_Toc149664950"/>
      <w:bookmarkStart w:id="10" w:name="_Toc149664951"/>
      <w:bookmarkStart w:id="11" w:name="_Toc149664952"/>
      <w:bookmarkStart w:id="12" w:name="_Toc150354825"/>
      <w:bookmarkEnd w:id="6"/>
      <w:bookmarkEnd w:id="7"/>
      <w:bookmarkEnd w:id="8"/>
      <w:bookmarkEnd w:id="9"/>
      <w:bookmarkEnd w:id="10"/>
      <w:bookmarkEnd w:id="11"/>
      <w:r>
        <w:t xml:space="preserve">For R4-2317401, before capturing in R2 CR, </w:t>
      </w:r>
      <w:r>
        <w:rPr>
          <w:rFonts w:hint="eastAsia"/>
        </w:rPr>
        <w:t>R</w:t>
      </w:r>
      <w:r>
        <w:t xml:space="preserve">2 discuss for </w:t>
      </w:r>
      <w:r w:rsidR="005709DE">
        <w:t xml:space="preserve">Rel-18 </w:t>
      </w:r>
      <w:r>
        <w:t xml:space="preserve">scenarios of </w:t>
      </w:r>
      <w:r w:rsidR="005709DE">
        <w:t>1) Inter-band, ENDC, FDD-FDD with overlapping frequency, 2) Inter-band, NEDC, FDD-FDD with overlapping frequency, and 3</w:t>
      </w:r>
      <w:r>
        <w:t xml:space="preserve">) Inter-band, NEDC, TDD-TDD with overlapping frequency, </w:t>
      </w:r>
      <w:r w:rsidR="006C6543">
        <w:t xml:space="preserve">R2 discuss </w:t>
      </w:r>
      <w:r>
        <w:t xml:space="preserve">how for UE to select to follow </w:t>
      </w:r>
      <w:r w:rsidR="006C6543">
        <w:t>a</w:t>
      </w:r>
      <w:r>
        <w:t xml:space="preserve">) synchronous type-2, or </w:t>
      </w:r>
      <w:r w:rsidR="006C6543">
        <w:t>b</w:t>
      </w:r>
      <w:r>
        <w:t>) synchronous type-1 requirement</w:t>
      </w:r>
      <w:r w:rsidR="005709DE">
        <w:t xml:space="preserve">, e.g., </w:t>
      </w:r>
      <w:r w:rsidR="006C6543">
        <w:t xml:space="preserve">whether can </w:t>
      </w:r>
      <w:r w:rsidR="005709DE">
        <w:t xml:space="preserve">extend the newly introduced BS </w:t>
      </w:r>
      <w:proofErr w:type="spellStart"/>
      <w:r w:rsidR="005709DE">
        <w:t>signaling</w:t>
      </w:r>
      <w:proofErr w:type="spellEnd"/>
      <w:r w:rsidR="005709DE">
        <w:t xml:space="preserve"> to FDD-FDD with overlapping, and to NEDC case as well.</w:t>
      </w:r>
      <w:bookmarkEnd w:id="12"/>
    </w:p>
    <w:p w14:paraId="75FF6F19" w14:textId="63AD0A8D" w:rsidR="00D36627" w:rsidRDefault="005709DE">
      <w:r>
        <w:rPr>
          <w:rFonts w:hint="eastAsia"/>
        </w:rPr>
        <w:t>A</w:t>
      </w:r>
      <w:r>
        <w:t xml:space="preserve">nd it may be helpful to clarify that UE </w:t>
      </w:r>
      <w:r w:rsidR="00D36627">
        <w:t>how for</w:t>
      </w:r>
      <w:r>
        <w:t xml:space="preserve"> UE to decide whether to apply the asynchronous requirement. </w:t>
      </w:r>
      <w:r w:rsidR="00D36627">
        <w:t xml:space="preserve">E.g., when the new BS </w:t>
      </w:r>
      <w:proofErr w:type="spellStart"/>
      <w:r w:rsidR="00D36627">
        <w:t>siganling</w:t>
      </w:r>
      <w:proofErr w:type="spellEnd"/>
      <w:r w:rsidR="00D36627">
        <w:t xml:space="preserve"> is absent, whether it means </w:t>
      </w:r>
      <w:r w:rsidR="00C81A9B">
        <w:t xml:space="preserve">collocated scenario only, or it could be asynchronous scenario as well, and it relies on UE itself to judge. </w:t>
      </w:r>
    </w:p>
    <w:p w14:paraId="55AC6E94" w14:textId="782E65A0" w:rsidR="006C6543" w:rsidRDefault="00C81A9B" w:rsidP="006C6543">
      <w:pPr>
        <w:spacing w:beforeLines="50" w:before="120"/>
      </w:pPr>
      <w:r>
        <w:t>S</w:t>
      </w:r>
      <w:r w:rsidR="006C6543">
        <w:t xml:space="preserve">ince the incoming LS mainly concerns </w:t>
      </w:r>
    </w:p>
    <w:p w14:paraId="531B0399" w14:textId="77777777" w:rsidR="006C6543" w:rsidRDefault="006C6543" w:rsidP="006C6543">
      <w:pPr>
        <w:pStyle w:val="af7"/>
        <w:numPr>
          <w:ilvl w:val="0"/>
          <w:numId w:val="69"/>
        </w:numPr>
        <w:spacing w:beforeLines="50" w:before="120"/>
      </w:pPr>
      <w:r>
        <w:t>Inter-band, ENDC, FDD-FDD with overlapping frequency</w:t>
      </w:r>
    </w:p>
    <w:p w14:paraId="4E65EAA2" w14:textId="77777777" w:rsidR="006C6543" w:rsidRDefault="006C6543" w:rsidP="006C6543">
      <w:pPr>
        <w:pStyle w:val="af7"/>
        <w:numPr>
          <w:ilvl w:val="0"/>
          <w:numId w:val="69"/>
        </w:numPr>
        <w:spacing w:beforeLines="50" w:before="120"/>
      </w:pPr>
      <w:r>
        <w:rPr>
          <w:rFonts w:hint="eastAsia"/>
        </w:rPr>
        <w:t>I</w:t>
      </w:r>
      <w:r>
        <w:t>nter-band, NEDC, FDD-FDD with overlapping frequency</w:t>
      </w:r>
    </w:p>
    <w:p w14:paraId="36E731D4" w14:textId="77777777" w:rsidR="006C6543" w:rsidRDefault="006C6543" w:rsidP="006C6543">
      <w:pPr>
        <w:pStyle w:val="af7"/>
        <w:numPr>
          <w:ilvl w:val="0"/>
          <w:numId w:val="69"/>
        </w:numPr>
        <w:spacing w:beforeLines="50" w:before="120"/>
      </w:pPr>
      <w:r>
        <w:rPr>
          <w:rFonts w:hint="eastAsia"/>
        </w:rPr>
        <w:t>I</w:t>
      </w:r>
      <w:r>
        <w:t>nter-band, NEDC, TDD-TDD with overlapping frequency</w:t>
      </w:r>
    </w:p>
    <w:p w14:paraId="5E6F57D9" w14:textId="77777777" w:rsidR="006C6543" w:rsidRDefault="006C6543" w:rsidP="006C6543">
      <w:r>
        <w:rPr>
          <w:rFonts w:hint="eastAsia"/>
        </w:rPr>
        <w:t>I</w:t>
      </w:r>
      <w:r>
        <w:t>t might be easier to start from these 3 cases, and maybe easier to clarify it for Rel-18.</w:t>
      </w:r>
    </w:p>
    <w:p w14:paraId="045A6ABA" w14:textId="77777777" w:rsidR="006C6543" w:rsidRPr="005709DE" w:rsidRDefault="006C6543" w:rsidP="00BC3841"/>
    <w:p w14:paraId="1875BEA4" w14:textId="606AF982" w:rsidR="005709DE" w:rsidRDefault="005709DE" w:rsidP="005709D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150354826"/>
      <w:r>
        <w:t xml:space="preserve">For R4-2317401, before capturing in R2 CR, </w:t>
      </w:r>
      <w:r>
        <w:rPr>
          <w:rFonts w:hint="eastAsia"/>
        </w:rPr>
        <w:t>R</w:t>
      </w:r>
      <w:r>
        <w:t xml:space="preserve">2 discuss for Rel-18 scenarios of 1) Inter-band, ENDC, FDD-FDD with overlapping frequency, and 2) Inter-band, NEDC, FDD-FDD with overlapping frequency, </w:t>
      </w:r>
      <w:r w:rsidR="00BC3841">
        <w:t>how for UE to select to follow asynchronous requirement or not.</w:t>
      </w:r>
      <w:bookmarkEnd w:id="13"/>
      <w:r w:rsidR="00BC3841">
        <w:t xml:space="preserve"> </w:t>
      </w:r>
    </w:p>
    <w:p w14:paraId="299661FD" w14:textId="48F31873" w:rsidR="006C3A75" w:rsidRDefault="006C3A75" w:rsidP="0051148A"/>
    <w:p w14:paraId="121B23D8" w14:textId="77777777" w:rsidR="00D0573B" w:rsidRDefault="00D0573B">
      <w:pPr>
        <w:pStyle w:val="1"/>
      </w:pPr>
      <w:bookmarkStart w:id="14" w:name="_Toc130285439"/>
      <w:bookmarkStart w:id="15" w:name="_Toc130285440"/>
      <w:bookmarkStart w:id="16" w:name="_Toc130285457"/>
      <w:bookmarkStart w:id="17" w:name="_Toc130285467"/>
      <w:bookmarkStart w:id="18" w:name="_Toc130285468"/>
      <w:bookmarkStart w:id="19" w:name="_Toc130285478"/>
      <w:bookmarkStart w:id="20" w:name="_Toc130285494"/>
      <w:bookmarkStart w:id="21" w:name="_Toc130285510"/>
      <w:bookmarkStart w:id="22" w:name="_Toc130285526"/>
      <w:bookmarkStart w:id="23" w:name="_Toc130285542"/>
      <w:bookmarkStart w:id="24" w:name="_Toc130285552"/>
      <w:bookmarkStart w:id="25" w:name="_Toc130285553"/>
      <w:bookmarkStart w:id="26" w:name="_Toc130285554"/>
      <w:bookmarkStart w:id="27" w:name="_Toc130285555"/>
      <w:bookmarkStart w:id="28" w:name="_Toc130285556"/>
      <w:bookmarkStart w:id="29" w:name="_Toc130285557"/>
      <w:bookmarkStart w:id="30" w:name="_Toc130285558"/>
      <w:bookmarkStart w:id="31" w:name="_Toc130285566"/>
      <w:bookmarkStart w:id="32" w:name="_Toc130285567"/>
      <w:bookmarkStart w:id="33" w:name="_Toc130285568"/>
      <w:bookmarkStart w:id="34" w:name="_Toc130285569"/>
      <w:bookmarkStart w:id="35" w:name="_Toc130285570"/>
      <w:bookmarkStart w:id="36" w:name="_Toc130285571"/>
      <w:bookmarkStart w:id="37" w:name="_Toc130285572"/>
      <w:bookmarkStart w:id="38" w:name="_Toc130285573"/>
      <w:bookmarkStart w:id="39" w:name="_Toc130285574"/>
      <w:bookmarkStart w:id="40" w:name="_Toc130285575"/>
      <w:bookmarkStart w:id="41" w:name="_Toc130285588"/>
      <w:bookmarkStart w:id="42" w:name="_Toc130285589"/>
      <w:bookmarkStart w:id="43" w:name="_Toc130285590"/>
      <w:bookmarkStart w:id="44" w:name="_Toc130285591"/>
      <w:bookmarkStart w:id="45" w:name="_Toc130285592"/>
      <w:bookmarkStart w:id="46" w:name="_Toc130285593"/>
      <w:bookmarkStart w:id="47" w:name="_Toc130285594"/>
      <w:bookmarkStart w:id="48" w:name="_Toc130285595"/>
      <w:bookmarkStart w:id="49" w:name="_Toc130285596"/>
      <w:bookmarkStart w:id="50" w:name="_Toc130285597"/>
      <w:bookmarkStart w:id="51" w:name="_Toc130285598"/>
      <w:bookmarkStart w:id="52" w:name="_Toc130285599"/>
      <w:bookmarkStart w:id="53" w:name="_Toc130285600"/>
      <w:bookmarkStart w:id="54" w:name="_Toc130285601"/>
      <w:bookmarkStart w:id="55" w:name="_Toc130285602"/>
      <w:bookmarkStart w:id="56" w:name="_Toc130285603"/>
      <w:bookmarkStart w:id="57" w:name="_Toc130285604"/>
      <w:bookmarkStart w:id="58" w:name="_Toc130285605"/>
      <w:bookmarkStart w:id="59" w:name="_Toc130285606"/>
      <w:bookmarkStart w:id="60" w:name="_Toc130285607"/>
      <w:bookmarkStart w:id="61" w:name="_Toc130285608"/>
      <w:bookmarkStart w:id="62" w:name="_Toc130285609"/>
      <w:bookmarkStart w:id="63" w:name="_Toc130285610"/>
      <w:bookmarkStart w:id="64" w:name="_Toc130285611"/>
      <w:bookmarkStart w:id="65" w:name="_Toc130285612"/>
      <w:bookmarkStart w:id="66" w:name="_Toc130285613"/>
      <w:bookmarkStart w:id="67" w:name="_Toc130285614"/>
      <w:bookmarkStart w:id="68" w:name="_Toc130285615"/>
      <w:bookmarkStart w:id="69" w:name="_Toc122613820"/>
      <w:bookmarkStart w:id="70" w:name="_Toc122614375"/>
      <w:bookmarkStart w:id="71" w:name="_Toc122613821"/>
      <w:bookmarkStart w:id="72" w:name="_Toc122614376"/>
      <w:bookmarkStart w:id="73" w:name="_Toc122613822"/>
      <w:bookmarkStart w:id="74" w:name="_Toc122614377"/>
      <w:bookmarkStart w:id="75" w:name="_Toc122613823"/>
      <w:bookmarkStart w:id="76" w:name="_Toc122614378"/>
      <w:bookmarkStart w:id="77" w:name="_Toc122613824"/>
      <w:bookmarkStart w:id="78" w:name="_Toc122614379"/>
      <w:bookmarkStart w:id="79" w:name="_Toc122613825"/>
      <w:bookmarkStart w:id="80" w:name="_Toc122614380"/>
      <w:bookmarkStart w:id="81" w:name="_Toc122613826"/>
      <w:bookmarkStart w:id="82" w:name="_Toc122614381"/>
      <w:bookmarkStart w:id="83" w:name="_Toc122613827"/>
      <w:bookmarkStart w:id="84" w:name="_Toc122614382"/>
      <w:bookmarkStart w:id="85" w:name="_Toc122613828"/>
      <w:bookmarkStart w:id="86" w:name="_Toc122614383"/>
      <w:bookmarkStart w:id="87" w:name="_Toc122613829"/>
      <w:bookmarkStart w:id="88" w:name="_Toc122614384"/>
      <w:bookmarkStart w:id="89" w:name="_Toc122613830"/>
      <w:bookmarkStart w:id="90" w:name="_Toc122614385"/>
      <w:bookmarkStart w:id="91" w:name="_Toc122613831"/>
      <w:bookmarkStart w:id="92" w:name="_Toc122614386"/>
      <w:bookmarkStart w:id="93" w:name="_Toc122613832"/>
      <w:bookmarkStart w:id="94" w:name="_Toc122614387"/>
      <w:bookmarkStart w:id="95" w:name="_Toc122613833"/>
      <w:bookmarkStart w:id="96" w:name="_Toc122614388"/>
      <w:bookmarkStart w:id="97" w:name="_Toc122613834"/>
      <w:bookmarkStart w:id="98" w:name="_Toc12261438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t>Conclusion</w:t>
      </w:r>
    </w:p>
    <w:p w14:paraId="363AC2BA" w14:textId="293756F6" w:rsidR="00D0573B" w:rsidRDefault="00D0573B">
      <w:r>
        <w:t>We have the following proposals:</w:t>
      </w:r>
    </w:p>
    <w:p w14:paraId="6B965941" w14:textId="51DB9C3C" w:rsidR="00177B03"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0354825" w:history="1">
        <w:r w:rsidR="00177B03" w:rsidRPr="004D2D7E">
          <w:rPr>
            <w:rStyle w:val="a5"/>
            <w:noProof/>
          </w:rPr>
          <w:t>Proposal 1</w:t>
        </w:r>
        <w:r w:rsidR="00177B03">
          <w:rPr>
            <w:rFonts w:asciiTheme="minorHAnsi" w:eastAsiaTheme="minorEastAsia" w:hAnsiTheme="minorHAnsi" w:cstheme="minorBidi"/>
            <w:b w:val="0"/>
            <w:noProof/>
            <w:kern w:val="2"/>
            <w:sz w:val="21"/>
            <w14:ligatures w14:val="standardContextual"/>
          </w:rPr>
          <w:tab/>
        </w:r>
        <w:r w:rsidR="00177B03" w:rsidRPr="004D2D7E">
          <w:rPr>
            <w:rStyle w:val="a5"/>
            <w:noProof/>
          </w:rPr>
          <w:t>For R4-2317401, before capturing in R2 CR, R2 discuss for Rel-18 scenarios of 1) Inter-band, ENDC, FDD-FDD with overlapping frequency, 2) Inter-band, NEDC, FDD-FDD with overlapping frequency, and 3) Inter-band, NEDC, TDD-TDD with overlapping frequency, R2 discuss how for UE to select to follow a) synchronous type-2, or b) synchronous type-1 requirement, e.g., whether can extend the newly introduced BS signaling to FDD-FDD with overlapping, and to NEDC case as well.</w:t>
        </w:r>
      </w:hyperlink>
    </w:p>
    <w:p w14:paraId="01EB0D20" w14:textId="7C894B05" w:rsidR="00177B03" w:rsidRDefault="00177B03">
      <w:pPr>
        <w:pStyle w:val="TOC1"/>
        <w:rPr>
          <w:rFonts w:asciiTheme="minorHAnsi" w:eastAsiaTheme="minorEastAsia" w:hAnsiTheme="minorHAnsi" w:cstheme="minorBidi"/>
          <w:b w:val="0"/>
          <w:noProof/>
          <w:kern w:val="2"/>
          <w:sz w:val="21"/>
          <w14:ligatures w14:val="standardContextual"/>
        </w:rPr>
      </w:pPr>
      <w:hyperlink w:anchor="_Toc150354826" w:history="1">
        <w:r w:rsidRPr="004D2D7E">
          <w:rPr>
            <w:rStyle w:val="a5"/>
            <w:noProof/>
          </w:rPr>
          <w:t>Proposal 2</w:t>
        </w:r>
        <w:r>
          <w:rPr>
            <w:rFonts w:asciiTheme="minorHAnsi" w:eastAsiaTheme="minorEastAsia" w:hAnsiTheme="minorHAnsi" w:cstheme="minorBidi"/>
            <w:b w:val="0"/>
            <w:noProof/>
            <w:kern w:val="2"/>
            <w:sz w:val="21"/>
            <w14:ligatures w14:val="standardContextual"/>
          </w:rPr>
          <w:tab/>
        </w:r>
        <w:r w:rsidRPr="004D2D7E">
          <w:rPr>
            <w:rStyle w:val="a5"/>
            <w:noProof/>
          </w:rPr>
          <w:t>For R4-2317401, before capturing in R2 CR, R2 discuss for Rel-18 scenarios of 1) Inter-band, ENDC, FDD-FDD with overlapping frequency, and 2) Inter-band, NEDC, FDD-FDD with overlapping frequency, how for UE to select to follow asynchronous requirement or not.</w:t>
        </w:r>
      </w:hyperlink>
    </w:p>
    <w:p w14:paraId="2F566ED3" w14:textId="31633781" w:rsidR="00D0573B" w:rsidRDefault="00D0573B">
      <w:pPr>
        <w:rPr>
          <w:b/>
          <w:bCs/>
        </w:rPr>
      </w:pPr>
      <w:r>
        <w:fldChar w:fldCharType="end"/>
      </w:r>
    </w:p>
    <w:p w14:paraId="69F6FEC8" w14:textId="77777777" w:rsidR="001170CE" w:rsidRPr="001170CE" w:rsidRDefault="001170CE" w:rsidP="00713C06">
      <w:pPr>
        <w:rPr>
          <w:lang w:val="en-US"/>
        </w:rPr>
      </w:pPr>
      <w:bookmarkStart w:id="99" w:name="_In-sequence_SDU_delivery"/>
      <w:bookmarkEnd w:id="99"/>
    </w:p>
    <w:sectPr w:rsidR="001170CE" w:rsidRPr="001170CE" w:rsidSect="00377411">
      <w:foot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88CB" w14:textId="77777777" w:rsidR="00730874" w:rsidRDefault="00730874">
      <w:pPr>
        <w:spacing w:after="0"/>
      </w:pPr>
      <w:r>
        <w:separator/>
      </w:r>
    </w:p>
  </w:endnote>
  <w:endnote w:type="continuationSeparator" w:id="0">
    <w:p w14:paraId="2FE60D5F" w14:textId="77777777" w:rsidR="00730874" w:rsidRDefault="00730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22803" w14:textId="77777777" w:rsidR="00730874" w:rsidRDefault="00730874">
      <w:pPr>
        <w:spacing w:after="0"/>
      </w:pPr>
      <w:r>
        <w:separator/>
      </w:r>
    </w:p>
  </w:footnote>
  <w:footnote w:type="continuationSeparator" w:id="0">
    <w:p w14:paraId="20EE7C2F" w14:textId="77777777" w:rsidR="00730874" w:rsidRDefault="007308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7978D6"/>
    <w:multiLevelType w:val="hybridMultilevel"/>
    <w:tmpl w:val="42B0C820"/>
    <w:lvl w:ilvl="0" w:tplc="F96688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38A4686"/>
    <w:multiLevelType w:val="hybridMultilevel"/>
    <w:tmpl w:val="FA4AA94A"/>
    <w:lvl w:ilvl="0" w:tplc="A3A0C0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87B52A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F8F3B3C"/>
    <w:multiLevelType w:val="hybridMultilevel"/>
    <w:tmpl w:val="A68CD91A"/>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9966646"/>
    <w:multiLevelType w:val="hybridMultilevel"/>
    <w:tmpl w:val="645ED364"/>
    <w:lvl w:ilvl="0" w:tplc="2EBAE2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A5A2C"/>
    <w:multiLevelType w:val="hybridMultilevel"/>
    <w:tmpl w:val="393E4EE0"/>
    <w:lvl w:ilvl="0" w:tplc="49D85AE4">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958DF"/>
    <w:multiLevelType w:val="hybridMultilevel"/>
    <w:tmpl w:val="645ED36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C05478A"/>
    <w:multiLevelType w:val="hybridMultilevel"/>
    <w:tmpl w:val="238C08B4"/>
    <w:lvl w:ilvl="0" w:tplc="0F1AC2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4"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30"/>
  </w:num>
  <w:num w:numId="3" w16cid:durableId="2058772509">
    <w:abstractNumId w:val="16"/>
  </w:num>
  <w:num w:numId="4" w16cid:durableId="1657027614">
    <w:abstractNumId w:val="24"/>
  </w:num>
  <w:num w:numId="5" w16cid:durableId="42143930">
    <w:abstractNumId w:val="15"/>
  </w:num>
  <w:num w:numId="6" w16cid:durableId="1820419331">
    <w:abstractNumId w:val="21"/>
  </w:num>
  <w:num w:numId="7" w16cid:durableId="2143577212">
    <w:abstractNumId w:val="20"/>
  </w:num>
  <w:num w:numId="8" w16cid:durableId="908924519">
    <w:abstractNumId w:val="27"/>
  </w:num>
  <w:num w:numId="9" w16cid:durableId="854926270">
    <w:abstractNumId w:val="47"/>
  </w:num>
  <w:num w:numId="10" w16cid:durableId="1525249853">
    <w:abstractNumId w:val="28"/>
  </w:num>
  <w:num w:numId="11" w16cid:durableId="863907421">
    <w:abstractNumId w:val="45"/>
  </w:num>
  <w:num w:numId="12" w16cid:durableId="1569801296">
    <w:abstractNumId w:val="35"/>
  </w:num>
  <w:num w:numId="13" w16cid:durableId="832069413">
    <w:abstractNumId w:val="41"/>
  </w:num>
  <w:num w:numId="14" w16cid:durableId="663819975">
    <w:abstractNumId w:val="25"/>
  </w:num>
  <w:num w:numId="15" w16cid:durableId="1186401110">
    <w:abstractNumId w:val="18"/>
  </w:num>
  <w:num w:numId="16" w16cid:durableId="1774402544">
    <w:abstractNumId w:val="3"/>
  </w:num>
  <w:num w:numId="17" w16cid:durableId="1099176735">
    <w:abstractNumId w:val="37"/>
  </w:num>
  <w:num w:numId="18" w16cid:durableId="1655523606">
    <w:abstractNumId w:val="32"/>
  </w:num>
  <w:num w:numId="19" w16cid:durableId="695739312">
    <w:abstractNumId w:val="6"/>
  </w:num>
  <w:num w:numId="20" w16cid:durableId="460418384">
    <w:abstractNumId w:val="44"/>
  </w:num>
  <w:num w:numId="21" w16cid:durableId="763963201">
    <w:abstractNumId w:val="1"/>
  </w:num>
  <w:num w:numId="22" w16cid:durableId="1437946529">
    <w:abstractNumId w:val="1"/>
  </w:num>
  <w:num w:numId="23" w16cid:durableId="309099874">
    <w:abstractNumId w:val="38"/>
  </w:num>
  <w:num w:numId="24" w16cid:durableId="1091856562">
    <w:abstractNumId w:val="14"/>
  </w:num>
  <w:num w:numId="25" w16cid:durableId="746147680">
    <w:abstractNumId w:val="1"/>
  </w:num>
  <w:num w:numId="26" w16cid:durableId="1326741722">
    <w:abstractNumId w:val="17"/>
  </w:num>
  <w:num w:numId="27" w16cid:durableId="273829240">
    <w:abstractNumId w:val="43"/>
  </w:num>
  <w:num w:numId="28" w16cid:durableId="1638488299">
    <w:abstractNumId w:val="1"/>
  </w:num>
  <w:num w:numId="29" w16cid:durableId="773591644">
    <w:abstractNumId w:val="1"/>
  </w:num>
  <w:num w:numId="30" w16cid:durableId="1915433355">
    <w:abstractNumId w:val="9"/>
  </w:num>
  <w:num w:numId="31" w16cid:durableId="1078291263">
    <w:abstractNumId w:val="12"/>
  </w:num>
  <w:num w:numId="32" w16cid:durableId="53890862">
    <w:abstractNumId w:val="7"/>
  </w:num>
  <w:num w:numId="33" w16cid:durableId="2089183895">
    <w:abstractNumId w:val="0"/>
  </w:num>
  <w:num w:numId="34" w16cid:durableId="600841295">
    <w:abstractNumId w:val="27"/>
  </w:num>
  <w:num w:numId="35" w16cid:durableId="1962805845">
    <w:abstractNumId w:val="27"/>
  </w:num>
  <w:num w:numId="36" w16cid:durableId="633406594">
    <w:abstractNumId w:val="27"/>
  </w:num>
  <w:num w:numId="37" w16cid:durableId="857932341">
    <w:abstractNumId w:val="23"/>
  </w:num>
  <w:num w:numId="38" w16cid:durableId="1570651271">
    <w:abstractNumId w:val="27"/>
  </w:num>
  <w:num w:numId="39" w16cid:durableId="755975562">
    <w:abstractNumId w:val="36"/>
  </w:num>
  <w:num w:numId="40" w16cid:durableId="1069577129">
    <w:abstractNumId w:val="27"/>
  </w:num>
  <w:num w:numId="41" w16cid:durableId="746807844">
    <w:abstractNumId w:val="27"/>
  </w:num>
  <w:num w:numId="42" w16cid:durableId="1054621288">
    <w:abstractNumId w:val="46"/>
  </w:num>
  <w:num w:numId="43" w16cid:durableId="241255731">
    <w:abstractNumId w:val="27"/>
  </w:num>
  <w:num w:numId="44" w16cid:durableId="1739009168">
    <w:abstractNumId w:val="27"/>
  </w:num>
  <w:num w:numId="45" w16cid:durableId="49813843">
    <w:abstractNumId w:val="31"/>
  </w:num>
  <w:num w:numId="46" w16cid:durableId="2086760342">
    <w:abstractNumId w:val="27"/>
  </w:num>
  <w:num w:numId="47" w16cid:durableId="2083793720">
    <w:abstractNumId w:val="10"/>
  </w:num>
  <w:num w:numId="48" w16cid:durableId="1486387707">
    <w:abstractNumId w:val="42"/>
  </w:num>
  <w:num w:numId="49" w16cid:durableId="1162282916">
    <w:abstractNumId w:val="29"/>
  </w:num>
  <w:num w:numId="50" w16cid:durableId="250745827">
    <w:abstractNumId w:val="11"/>
  </w:num>
  <w:num w:numId="51" w16cid:durableId="794297749">
    <w:abstractNumId w:val="8"/>
  </w:num>
  <w:num w:numId="52" w16cid:durableId="284387016">
    <w:abstractNumId w:val="27"/>
  </w:num>
  <w:num w:numId="53" w16cid:durableId="690572177">
    <w:abstractNumId w:val="27"/>
  </w:num>
  <w:num w:numId="54" w16cid:durableId="1527139840">
    <w:abstractNumId w:val="33"/>
  </w:num>
  <w:num w:numId="55" w16cid:durableId="801505659">
    <w:abstractNumId w:val="5"/>
  </w:num>
  <w:num w:numId="56" w16cid:durableId="61098534">
    <w:abstractNumId w:val="13"/>
  </w:num>
  <w:num w:numId="57" w16cid:durableId="1686781292">
    <w:abstractNumId w:val="27"/>
  </w:num>
  <w:num w:numId="58" w16cid:durableId="140509479">
    <w:abstractNumId w:val="27"/>
  </w:num>
  <w:num w:numId="59" w16cid:durableId="1136025640">
    <w:abstractNumId w:val="27"/>
  </w:num>
  <w:num w:numId="60" w16cid:durableId="1330913578">
    <w:abstractNumId w:val="1"/>
  </w:num>
  <w:num w:numId="61" w16cid:durableId="1662268067">
    <w:abstractNumId w:val="1"/>
  </w:num>
  <w:num w:numId="62" w16cid:durableId="1070344923">
    <w:abstractNumId w:val="34"/>
  </w:num>
  <w:num w:numId="63" w16cid:durableId="1819763541">
    <w:abstractNumId w:val="40"/>
  </w:num>
  <w:num w:numId="64" w16cid:durableId="2076270188">
    <w:abstractNumId w:val="1"/>
  </w:num>
  <w:num w:numId="65" w16cid:durableId="216548836">
    <w:abstractNumId w:val="39"/>
  </w:num>
  <w:num w:numId="66" w16cid:durableId="1139034764">
    <w:abstractNumId w:val="22"/>
  </w:num>
  <w:num w:numId="67" w16cid:durableId="359402605">
    <w:abstractNumId w:val="4"/>
  </w:num>
  <w:num w:numId="68" w16cid:durableId="541140841">
    <w:abstractNumId w:val="19"/>
  </w:num>
  <w:num w:numId="69" w16cid:durableId="957680930">
    <w:abstractNumId w:val="26"/>
  </w:num>
  <w:num w:numId="70" w16cid:durableId="61112876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6wFADrHD/8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6E49"/>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13D"/>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1D3"/>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87E"/>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225"/>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B49"/>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B03"/>
    <w:rsid w:val="00177FA2"/>
    <w:rsid w:val="00180120"/>
    <w:rsid w:val="0018143F"/>
    <w:rsid w:val="00182AC3"/>
    <w:rsid w:val="00183C22"/>
    <w:rsid w:val="00184F28"/>
    <w:rsid w:val="00185040"/>
    <w:rsid w:val="00186F5B"/>
    <w:rsid w:val="001879F0"/>
    <w:rsid w:val="00190AC1"/>
    <w:rsid w:val="00191193"/>
    <w:rsid w:val="001923A3"/>
    <w:rsid w:val="00192784"/>
    <w:rsid w:val="00192A3F"/>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5542"/>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840"/>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BE8"/>
    <w:rsid w:val="002C0D71"/>
    <w:rsid w:val="002C0F8B"/>
    <w:rsid w:val="002C41E6"/>
    <w:rsid w:val="002C61DF"/>
    <w:rsid w:val="002C62E1"/>
    <w:rsid w:val="002C7540"/>
    <w:rsid w:val="002D071A"/>
    <w:rsid w:val="002D0821"/>
    <w:rsid w:val="002D0994"/>
    <w:rsid w:val="002D0BE5"/>
    <w:rsid w:val="002D269B"/>
    <w:rsid w:val="002D34B2"/>
    <w:rsid w:val="002D36C3"/>
    <w:rsid w:val="002D3825"/>
    <w:rsid w:val="002D410F"/>
    <w:rsid w:val="002D440F"/>
    <w:rsid w:val="002D485A"/>
    <w:rsid w:val="002D496E"/>
    <w:rsid w:val="002D5BE9"/>
    <w:rsid w:val="002D6BFE"/>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7C2"/>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5DAA"/>
    <w:rsid w:val="003771EE"/>
    <w:rsid w:val="003773B2"/>
    <w:rsid w:val="00377411"/>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451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5E2F"/>
    <w:rsid w:val="00406CEE"/>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9AB"/>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E79FC"/>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9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4D6B"/>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1F10"/>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543"/>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33"/>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0874"/>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211"/>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38"/>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A7FE3"/>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1FF"/>
    <w:rsid w:val="00807786"/>
    <w:rsid w:val="008078FF"/>
    <w:rsid w:val="00807D52"/>
    <w:rsid w:val="00811FCB"/>
    <w:rsid w:val="00812391"/>
    <w:rsid w:val="00813481"/>
    <w:rsid w:val="00813B3B"/>
    <w:rsid w:val="0081497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5CA"/>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61"/>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3CF"/>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6D9"/>
    <w:rsid w:val="009F1F7D"/>
    <w:rsid w:val="009F204D"/>
    <w:rsid w:val="009F2BB4"/>
    <w:rsid w:val="009F344F"/>
    <w:rsid w:val="009F4D4A"/>
    <w:rsid w:val="009F581C"/>
    <w:rsid w:val="009F6264"/>
    <w:rsid w:val="009F68A6"/>
    <w:rsid w:val="009F7973"/>
    <w:rsid w:val="009F7CE2"/>
    <w:rsid w:val="00A031D8"/>
    <w:rsid w:val="00A032C1"/>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1A"/>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910"/>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1F40"/>
    <w:rsid w:val="00B02AA9"/>
    <w:rsid w:val="00B02FA3"/>
    <w:rsid w:val="00B02FF3"/>
    <w:rsid w:val="00B03302"/>
    <w:rsid w:val="00B03E30"/>
    <w:rsid w:val="00B05084"/>
    <w:rsid w:val="00B05E98"/>
    <w:rsid w:val="00B07B08"/>
    <w:rsid w:val="00B07DD7"/>
    <w:rsid w:val="00B101E0"/>
    <w:rsid w:val="00B10E4C"/>
    <w:rsid w:val="00B130C7"/>
    <w:rsid w:val="00B132D1"/>
    <w:rsid w:val="00B133AE"/>
    <w:rsid w:val="00B133D4"/>
    <w:rsid w:val="00B141B0"/>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6FB"/>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841"/>
    <w:rsid w:val="00BC43C2"/>
    <w:rsid w:val="00BC4D2E"/>
    <w:rsid w:val="00BC550C"/>
    <w:rsid w:val="00BC6227"/>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A9B"/>
    <w:rsid w:val="00C81EAC"/>
    <w:rsid w:val="00C82F86"/>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1D73"/>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627"/>
    <w:rsid w:val="00D36755"/>
    <w:rsid w:val="00D36B06"/>
    <w:rsid w:val="00D36E71"/>
    <w:rsid w:val="00D37D87"/>
    <w:rsid w:val="00D40B33"/>
    <w:rsid w:val="00D41490"/>
    <w:rsid w:val="00D41E69"/>
    <w:rsid w:val="00D42942"/>
    <w:rsid w:val="00D4318F"/>
    <w:rsid w:val="00D438BF"/>
    <w:rsid w:val="00D43B5C"/>
    <w:rsid w:val="00D43E89"/>
    <w:rsid w:val="00D440F8"/>
    <w:rsid w:val="00D4447D"/>
    <w:rsid w:val="00D45F81"/>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6CEE"/>
    <w:rsid w:val="00DB74C2"/>
    <w:rsid w:val="00DB7598"/>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D6230"/>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088"/>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720"/>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45A"/>
    <w:rsid w:val="00FE6F54"/>
    <w:rsid w:val="00FE7171"/>
    <w:rsid w:val="00FE7336"/>
    <w:rsid w:val="00FE787C"/>
    <w:rsid w:val="00FF0359"/>
    <w:rsid w:val="00FF172B"/>
    <w:rsid w:val="00FF253B"/>
    <w:rsid w:val="00FF2DA5"/>
    <w:rsid w:val="00FF2F8B"/>
    <w:rsid w:val="00FF3FDF"/>
    <w:rsid w:val="00FF45A5"/>
    <w:rsid w:val="00FF519D"/>
    <w:rsid w:val="00FF5641"/>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 w:type="paragraph" w:customStyle="1" w:styleId="References">
    <w:name w:val="References"/>
    <w:basedOn w:val="a0"/>
    <w:uiPriority w:val="99"/>
    <w:rsid w:val="007A7FE3"/>
    <w:pPr>
      <w:numPr>
        <w:numId w:val="63"/>
      </w:numPr>
      <w:tabs>
        <w:tab w:val="clear" w:pos="360"/>
      </w:tabs>
      <w:spacing w:after="80"/>
      <w:jc w:val="left"/>
    </w:pPr>
    <w:rPr>
      <w:rFonts w:ascii="Times New Roman" w:eastAsia="MS Mincho" w:hAnsi="Times New Roman"/>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5589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cp:revision>
  <cp:lastPrinted>2008-01-31T16:09:00Z</cp:lastPrinted>
  <dcterms:created xsi:type="dcterms:W3CDTF">2023-11-08T08:53:00Z</dcterms:created>
  <dcterms:modified xsi:type="dcterms:W3CDTF">2023-11-08T08:53:00Z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